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3"/>
        <w:rPr>
          <w:rFonts w:ascii="Comic Sans MS" w:hAnsi="Comic Sans MS"/>
          <w:b w:val="0"/>
          <w:color w:val="000000"/>
        </w:rPr>
      </w:pPr>
      <w:bookmarkStart w:id="0" w:name="_GoBack"/>
      <w:bookmarkEnd w:id="0"/>
      <w:r>
        <w:rPr>
          <w:rFonts w:ascii="Comic Sans MS" w:hAnsi="Comic Sans MS"/>
          <w:b w:val="0"/>
          <w:color w:val="000000"/>
        </w:rPr>
        <w:t>Begleitinformation zum NUA-Poster</w:t>
      </w:r>
    </w:p>
    <w:p>
      <w:pPr>
        <w:pStyle w:val="berschrift3"/>
        <w:jc w:val="both"/>
        <w:rPr>
          <w:rFonts w:ascii="Comic Sans MS" w:hAnsi="Comic Sans MS"/>
          <w:color w:val="000000"/>
        </w:rPr>
      </w:pPr>
      <w:r>
        <w:rPr>
          <w:rFonts w:ascii="Comic Sans MS" w:hAnsi="Comic Sans MS"/>
          <w:color w:val="000000"/>
          <w:sz w:val="28"/>
        </w:rPr>
        <w:t>„Wir zeigen die Gewässergüte in NRW“</w:t>
      </w:r>
    </w:p>
    <w:p/>
    <w:p>
      <w:pPr>
        <w:pStyle w:val="berschrift3"/>
        <w:rPr>
          <w:rFonts w:ascii="Comic Sans MS" w:hAnsi="Comic Sans MS"/>
          <w:color w:val="000000"/>
          <w:sz w:val="32"/>
        </w:rPr>
      </w:pPr>
      <w:r>
        <w:rPr>
          <w:rFonts w:ascii="Comic Sans MS" w:hAnsi="Comic Sans MS"/>
          <w:color w:val="000000"/>
          <w:sz w:val="32"/>
        </w:rPr>
        <w:t>Biologische Gewässergütebestimmung von Fließgewä</w:t>
      </w:r>
      <w:r>
        <w:rPr>
          <w:rFonts w:ascii="Comic Sans MS" w:hAnsi="Comic Sans MS"/>
          <w:color w:val="000000"/>
          <w:sz w:val="32"/>
        </w:rPr>
        <w:t>s</w:t>
      </w:r>
      <w:r>
        <w:rPr>
          <w:rFonts w:ascii="Comic Sans MS" w:hAnsi="Comic Sans MS"/>
          <w:color w:val="000000"/>
          <w:sz w:val="32"/>
        </w:rPr>
        <w:t>sern</w:t>
      </w:r>
    </w:p>
    <w:p/>
    <w:p>
      <w:pPr>
        <w:pStyle w:val="berschrift1"/>
        <w:jc w:val="both"/>
        <w:rPr>
          <w:rFonts w:ascii="Comic Sans MS" w:hAnsi="Comic Sans MS"/>
          <w:i w:val="0"/>
          <w:color w:val="auto"/>
          <w:sz w:val="20"/>
        </w:rPr>
      </w:pPr>
      <w:r>
        <w:rPr>
          <w:rFonts w:ascii="Comic Sans MS" w:hAnsi="Comic Sans MS"/>
          <w:i w:val="0"/>
          <w:color w:val="auto"/>
          <w:sz w:val="20"/>
        </w:rPr>
        <w:t>Ein wasse</w:t>
      </w:r>
      <w:r>
        <w:rPr>
          <w:rFonts w:ascii="Comic Sans MS" w:hAnsi="Comic Sans MS"/>
          <w:i w:val="0"/>
          <w:color w:val="auto"/>
          <w:sz w:val="20"/>
        </w:rPr>
        <w:t>r</w:t>
      </w:r>
      <w:r>
        <w:rPr>
          <w:rFonts w:ascii="Comic Sans MS" w:hAnsi="Comic Sans MS"/>
          <w:i w:val="0"/>
          <w:color w:val="auto"/>
          <w:sz w:val="20"/>
        </w:rPr>
        <w:t xml:space="preserve">reiches Land </w:t>
      </w:r>
    </w:p>
    <w:p>
      <w:pPr>
        <w:pStyle w:val="Textkrper"/>
        <w:jc w:val="both"/>
        <w:rPr>
          <w:rFonts w:ascii="Comic Sans MS" w:hAnsi="Comic Sans MS"/>
          <w:b w:val="0"/>
          <w:sz w:val="20"/>
        </w:rPr>
      </w:pPr>
      <w:r>
        <w:rPr>
          <w:rFonts w:ascii="Comic Sans MS" w:hAnsi="Comic Sans MS"/>
          <w:b w:val="0"/>
          <w:sz w:val="20"/>
        </w:rPr>
        <w:t>Nordrhein-Westfalen gehört zu den wasserreichen Regionen Europas. Über 10.000 Bäche und Flüsse mit einer Gesamt-Lauflänge von etwa 50.000 Kilometern transportieren das anfallende Niederschlags- und Quellwasser wie ein gigantisches Adernetz über große Arterien, den Rhei</w:t>
      </w:r>
      <w:r>
        <w:rPr>
          <w:rFonts w:ascii="Comic Sans MS" w:hAnsi="Comic Sans MS"/>
          <w:b w:val="0"/>
          <w:sz w:val="20"/>
        </w:rPr>
        <w:t>n</w:t>
      </w:r>
      <w:r>
        <w:rPr>
          <w:rFonts w:ascii="Comic Sans MS" w:hAnsi="Comic Sans MS"/>
          <w:b w:val="0"/>
          <w:sz w:val="20"/>
        </w:rPr>
        <w:t>strom und die kleinere Ems, in Richtung Nordsee. In einem so dicht besiedelten Gebiet wird fast jeder Bach und Fluss genutzt: als Lieferant von Trink- und Brauchwasser und für die Entsorgung von überschüssigem Wasser und Abwasser. Um für die Fließgewässer den wirtschaftlichen Nu</w:t>
      </w:r>
      <w:r>
        <w:rPr>
          <w:rFonts w:ascii="Comic Sans MS" w:hAnsi="Comic Sans MS"/>
          <w:b w:val="0"/>
          <w:sz w:val="20"/>
        </w:rPr>
        <w:t>t</w:t>
      </w:r>
      <w:r>
        <w:rPr>
          <w:rFonts w:ascii="Comic Sans MS" w:hAnsi="Comic Sans MS"/>
          <w:b w:val="0"/>
          <w:sz w:val="20"/>
        </w:rPr>
        <w:t>zen zu erhöhen, wurden die meisten Wasserläufe ausgebaut, das heißt begradigt, vertieft und befe</w:t>
      </w:r>
      <w:r>
        <w:rPr>
          <w:rFonts w:ascii="Comic Sans MS" w:hAnsi="Comic Sans MS"/>
          <w:b w:val="0"/>
          <w:sz w:val="20"/>
        </w:rPr>
        <w:t>s</w:t>
      </w:r>
      <w:r>
        <w:rPr>
          <w:rFonts w:ascii="Comic Sans MS" w:hAnsi="Comic Sans MS"/>
          <w:b w:val="0"/>
          <w:sz w:val="20"/>
        </w:rPr>
        <w:t xml:space="preserve">tigt. </w:t>
      </w:r>
    </w:p>
    <w:p>
      <w:pPr>
        <w:pStyle w:val="Textkrper"/>
        <w:jc w:val="both"/>
        <w:rPr>
          <w:rFonts w:ascii="Comic Sans MS" w:hAnsi="Comic Sans MS"/>
          <w:b w:val="0"/>
          <w:sz w:val="20"/>
        </w:rPr>
      </w:pPr>
    </w:p>
    <w:p>
      <w:pPr>
        <w:pStyle w:val="Textkrper"/>
        <w:jc w:val="both"/>
        <w:rPr>
          <w:rFonts w:ascii="Comic Sans MS" w:hAnsi="Comic Sans MS"/>
          <w:b w:val="0"/>
          <w:sz w:val="20"/>
        </w:rPr>
      </w:pPr>
      <w:r>
        <w:rPr>
          <w:rFonts w:ascii="Comic Sans MS" w:hAnsi="Comic Sans MS"/>
          <w:b w:val="0"/>
          <w:sz w:val="20"/>
        </w:rPr>
        <w:t>Quellen, Bäche und Flüsse sind aber zu aller erst Lebensräume, die von einer vielfältigen Leben</w:t>
      </w:r>
      <w:r>
        <w:rPr>
          <w:rFonts w:ascii="Comic Sans MS" w:hAnsi="Comic Sans MS"/>
          <w:b w:val="0"/>
          <w:sz w:val="20"/>
        </w:rPr>
        <w:t>s</w:t>
      </w:r>
      <w:r>
        <w:rPr>
          <w:rFonts w:ascii="Comic Sans MS" w:hAnsi="Comic Sans MS"/>
          <w:b w:val="0"/>
          <w:sz w:val="20"/>
        </w:rPr>
        <w:t>gemeinschaft aus Fischen und wirbellosen Tieren (u. a. Muscheln, Schnecken, Krebse, Wasseri</w:t>
      </w:r>
      <w:r>
        <w:rPr>
          <w:rFonts w:ascii="Comic Sans MS" w:hAnsi="Comic Sans MS"/>
          <w:b w:val="0"/>
          <w:sz w:val="20"/>
        </w:rPr>
        <w:t>n</w:t>
      </w:r>
      <w:r>
        <w:rPr>
          <w:rFonts w:ascii="Comic Sans MS" w:hAnsi="Comic Sans MS"/>
          <w:b w:val="0"/>
          <w:sz w:val="20"/>
        </w:rPr>
        <w:t>sekten, das sogenannte Makrozoobenthos) besiedelt werden. Die Zusammensetzung dieser G</w:t>
      </w:r>
      <w:r>
        <w:rPr>
          <w:rFonts w:ascii="Comic Sans MS" w:hAnsi="Comic Sans MS"/>
          <w:b w:val="0"/>
          <w:sz w:val="20"/>
        </w:rPr>
        <w:t>e</w:t>
      </w:r>
      <w:r>
        <w:rPr>
          <w:rFonts w:ascii="Comic Sans MS" w:hAnsi="Comic Sans MS"/>
          <w:b w:val="0"/>
          <w:sz w:val="20"/>
        </w:rPr>
        <w:t>meinschaften ist in jedem Gewässer unterschiedlich, aber immer typisch für die prägenden L</w:t>
      </w:r>
      <w:r>
        <w:rPr>
          <w:rFonts w:ascii="Comic Sans MS" w:hAnsi="Comic Sans MS"/>
          <w:b w:val="0"/>
          <w:sz w:val="20"/>
        </w:rPr>
        <w:t>e</w:t>
      </w:r>
      <w:r>
        <w:rPr>
          <w:rFonts w:ascii="Comic Sans MS" w:hAnsi="Comic Sans MS"/>
          <w:b w:val="0"/>
          <w:sz w:val="20"/>
        </w:rPr>
        <w:t>bensraumbedingungen. Zu diesen gehören vor allem der Gewässertyp (z. B. Sandbach oder –fluss  im Tiefland, Mittelgebirgsbach oder –fluss, großer Strom), die Wasserqualität und der Ausba</w:t>
      </w:r>
      <w:r>
        <w:rPr>
          <w:rFonts w:ascii="Comic Sans MS" w:hAnsi="Comic Sans MS"/>
          <w:b w:val="0"/>
          <w:sz w:val="20"/>
        </w:rPr>
        <w:t>u</w:t>
      </w:r>
      <w:r>
        <w:rPr>
          <w:rFonts w:ascii="Comic Sans MS" w:hAnsi="Comic Sans MS"/>
          <w:b w:val="0"/>
          <w:sz w:val="20"/>
        </w:rPr>
        <w:t>zustand (z. B. naturnaher Waldbach, landwirtschaftlicher Graben, Schif</w:t>
      </w:r>
      <w:r>
        <w:rPr>
          <w:rFonts w:ascii="Comic Sans MS" w:hAnsi="Comic Sans MS"/>
          <w:b w:val="0"/>
          <w:sz w:val="20"/>
        </w:rPr>
        <w:t>f</w:t>
      </w:r>
      <w:r>
        <w:rPr>
          <w:rFonts w:ascii="Comic Sans MS" w:hAnsi="Comic Sans MS"/>
          <w:b w:val="0"/>
          <w:sz w:val="20"/>
        </w:rPr>
        <w:t>fahrtsweg).</w:t>
      </w:r>
    </w:p>
    <w:p>
      <w:pPr>
        <w:pStyle w:val="Textkrper"/>
        <w:jc w:val="both"/>
        <w:rPr>
          <w:rFonts w:ascii="Comic Sans MS" w:hAnsi="Comic Sans MS"/>
          <w:b w:val="0"/>
          <w:sz w:val="20"/>
        </w:rPr>
      </w:pPr>
    </w:p>
    <w:p>
      <w:pPr>
        <w:pStyle w:val="Textkrper"/>
        <w:jc w:val="both"/>
        <w:rPr>
          <w:rFonts w:ascii="Comic Sans MS" w:hAnsi="Comic Sans MS"/>
          <w:sz w:val="20"/>
        </w:rPr>
      </w:pPr>
    </w:p>
    <w:p>
      <w:pPr>
        <w:pStyle w:val="Textkrper"/>
        <w:jc w:val="both"/>
        <w:rPr>
          <w:rFonts w:ascii="Comic Sans MS" w:hAnsi="Comic Sans MS"/>
          <w:sz w:val="20"/>
        </w:rPr>
      </w:pPr>
      <w:r>
        <w:rPr>
          <w:rFonts w:ascii="Comic Sans MS" w:hAnsi="Comic Sans MS"/>
          <w:sz w:val="20"/>
        </w:rPr>
        <w:t>Lebewesen als Spiegel der Wasserqualität: das Saprobiensystem</w:t>
      </w:r>
    </w:p>
    <w:p>
      <w:pPr>
        <w:pStyle w:val="Textkrper"/>
        <w:jc w:val="both"/>
        <w:rPr>
          <w:rFonts w:ascii="Comic Sans MS" w:hAnsi="Comic Sans MS"/>
          <w:b w:val="0"/>
          <w:sz w:val="20"/>
        </w:rPr>
      </w:pPr>
      <w:r>
        <w:rPr>
          <w:rFonts w:ascii="Comic Sans MS" w:hAnsi="Comic Sans MS"/>
          <w:b w:val="0"/>
          <w:sz w:val="20"/>
        </w:rPr>
        <w:t>Bereits seit etwa 100 Jahren macht man sich die Eigenschaft der Wasserlebewesen, den Z</w:t>
      </w:r>
      <w:r>
        <w:rPr>
          <w:rFonts w:ascii="Comic Sans MS" w:hAnsi="Comic Sans MS"/>
          <w:b w:val="0"/>
          <w:sz w:val="20"/>
        </w:rPr>
        <w:t>u</w:t>
      </w:r>
      <w:r>
        <w:rPr>
          <w:rFonts w:ascii="Comic Sans MS" w:hAnsi="Comic Sans MS"/>
          <w:b w:val="0"/>
          <w:sz w:val="20"/>
        </w:rPr>
        <w:t>stand eines Gewässers auch über einen länger zurückliegenden Zeitraum anzuzeigen, zunutze. Besonders für den Grad der Gewässerverschmutzung durch Abwässer, die unter Sauerstof</w:t>
      </w:r>
      <w:r>
        <w:rPr>
          <w:rFonts w:ascii="Comic Sans MS" w:hAnsi="Comic Sans MS"/>
          <w:b w:val="0"/>
          <w:sz w:val="20"/>
        </w:rPr>
        <w:t>f</w:t>
      </w:r>
      <w:r>
        <w:rPr>
          <w:rFonts w:ascii="Comic Sans MS" w:hAnsi="Comic Sans MS"/>
          <w:b w:val="0"/>
          <w:sz w:val="20"/>
        </w:rPr>
        <w:t>verbrauch abgebaut werden, gibt es ein treffsicheres und bewährtes Verfahren. Daraus hat man die bis heute wichtigste biologische Norm in Deutschland gemacht: das Saprobiensystem („sapros“ = griechisch: Fäulnis). Die Funktionsweise dieses „biologischen Indikatorsystems“ ist einfach zu verstehen: Auch Wassertiere brauchen Sauerstoff, bestimmte Arten besonders viel, z.B. die Bewohner von Bergbächen, andere kommen mit weniger aus, z.B. die Arten eines Tie</w:t>
      </w:r>
      <w:r>
        <w:rPr>
          <w:rFonts w:ascii="Comic Sans MS" w:hAnsi="Comic Sans MS"/>
          <w:b w:val="0"/>
          <w:sz w:val="20"/>
        </w:rPr>
        <w:t>f</w:t>
      </w:r>
      <w:r>
        <w:rPr>
          <w:rFonts w:ascii="Comic Sans MS" w:hAnsi="Comic Sans MS"/>
          <w:b w:val="0"/>
          <w:sz w:val="20"/>
        </w:rPr>
        <w:t>landflusses. Alle Gewässerbewohner haben jedoch bezüglich ihrer Sauerstoffansprüche ein b</w:t>
      </w:r>
      <w:r>
        <w:rPr>
          <w:rFonts w:ascii="Comic Sans MS" w:hAnsi="Comic Sans MS"/>
          <w:b w:val="0"/>
          <w:sz w:val="20"/>
        </w:rPr>
        <w:t>e</w:t>
      </w:r>
      <w:r>
        <w:rPr>
          <w:rFonts w:ascii="Comic Sans MS" w:hAnsi="Comic Sans MS"/>
          <w:b w:val="0"/>
          <w:sz w:val="20"/>
        </w:rPr>
        <w:t>stimmtes Minimum; Wird dieses unterschritten, verschwinden anspruchsvollere Arten, und so</w:t>
      </w:r>
      <w:r>
        <w:rPr>
          <w:rFonts w:ascii="Comic Sans MS" w:hAnsi="Comic Sans MS"/>
          <w:b w:val="0"/>
          <w:sz w:val="20"/>
        </w:rPr>
        <w:t>l</w:t>
      </w:r>
      <w:r>
        <w:rPr>
          <w:rFonts w:ascii="Comic Sans MS" w:hAnsi="Comic Sans MS"/>
          <w:b w:val="0"/>
          <w:sz w:val="20"/>
        </w:rPr>
        <w:t>che, die mit wenig Sauerstoff auskommen, breiten sich in Massen aus. In extrem belasteten und daher fast sauerstofffreien Gewässern (z. B. in der Emscher) findet man praktisch keine Makr</w:t>
      </w:r>
      <w:r>
        <w:rPr>
          <w:rFonts w:ascii="Comic Sans MS" w:hAnsi="Comic Sans MS"/>
          <w:b w:val="0"/>
          <w:sz w:val="20"/>
        </w:rPr>
        <w:t>o</w:t>
      </w:r>
      <w:r>
        <w:rPr>
          <w:rFonts w:ascii="Comic Sans MS" w:hAnsi="Comic Sans MS"/>
          <w:b w:val="0"/>
          <w:sz w:val="20"/>
        </w:rPr>
        <w:t>zoobenthos-Arten; Mikroorganismen (Bakterien, Einzeller), die für die Abwasserreinigung wic</w:t>
      </w:r>
      <w:r>
        <w:rPr>
          <w:rFonts w:ascii="Comic Sans MS" w:hAnsi="Comic Sans MS"/>
          <w:b w:val="0"/>
          <w:sz w:val="20"/>
        </w:rPr>
        <w:t>h</w:t>
      </w:r>
      <w:r>
        <w:rPr>
          <w:rFonts w:ascii="Comic Sans MS" w:hAnsi="Comic Sans MS"/>
          <w:b w:val="0"/>
          <w:sz w:val="20"/>
        </w:rPr>
        <w:t xml:space="preserve">tig sind, gelangen hier zu großer Entfaltung. </w:t>
      </w:r>
    </w:p>
    <w:p>
      <w:pPr>
        <w:pStyle w:val="Textkrper"/>
        <w:jc w:val="both"/>
        <w:rPr>
          <w:rFonts w:ascii="Comic Sans MS" w:hAnsi="Comic Sans MS"/>
          <w:b w:val="0"/>
          <w:sz w:val="20"/>
        </w:rPr>
      </w:pPr>
    </w:p>
    <w:p>
      <w:pPr>
        <w:pStyle w:val="Textkrper"/>
        <w:jc w:val="both"/>
        <w:rPr>
          <w:rFonts w:ascii="Comic Sans MS" w:hAnsi="Comic Sans MS"/>
          <w:b w:val="0"/>
          <w:sz w:val="20"/>
        </w:rPr>
      </w:pPr>
      <w:r>
        <w:rPr>
          <w:rFonts w:ascii="Comic Sans MS" w:hAnsi="Comic Sans MS"/>
          <w:b w:val="0"/>
          <w:sz w:val="20"/>
        </w:rPr>
        <w:t>Das „offizielle“ Saprobiensystem umfasst nach aktuellem Stand etwa 160 wirbellose Tiere, dazu einige Fischarten und eine Liste von Mikroorganismen. Fachleute erarbeiten ganz aktuell eine neue, erheblich längere Liste von Indikatoren, um das System nochmals zu verbe</w:t>
      </w:r>
      <w:r>
        <w:rPr>
          <w:rFonts w:ascii="Comic Sans MS" w:hAnsi="Comic Sans MS"/>
          <w:b w:val="0"/>
          <w:sz w:val="20"/>
        </w:rPr>
        <w:t>s</w:t>
      </w:r>
      <w:r>
        <w:rPr>
          <w:rFonts w:ascii="Comic Sans MS" w:hAnsi="Comic Sans MS"/>
          <w:b w:val="0"/>
          <w:sz w:val="20"/>
        </w:rPr>
        <w:t>sern.</w:t>
      </w:r>
    </w:p>
    <w:p>
      <w:pPr>
        <w:pStyle w:val="Textkrper"/>
        <w:jc w:val="both"/>
        <w:rPr>
          <w:rFonts w:ascii="Comic Sans MS" w:hAnsi="Comic Sans MS"/>
          <w:b w:val="0"/>
          <w:sz w:val="20"/>
        </w:rPr>
      </w:pPr>
    </w:p>
    <w:p>
      <w:pPr>
        <w:pStyle w:val="Textkrper"/>
        <w:pBdr>
          <w:top w:val="single" w:sz="4" w:space="1" w:color="auto"/>
          <w:left w:val="single" w:sz="4" w:space="4" w:color="auto"/>
          <w:bottom w:val="single" w:sz="4" w:space="1" w:color="auto"/>
          <w:right w:val="single" w:sz="4" w:space="4" w:color="auto"/>
        </w:pBdr>
        <w:jc w:val="both"/>
        <w:rPr>
          <w:rFonts w:ascii="Arial" w:hAnsi="Arial"/>
          <w:sz w:val="18"/>
        </w:rPr>
      </w:pPr>
      <w:r>
        <w:rPr>
          <w:rFonts w:ascii="Comic Sans MS" w:hAnsi="Comic Sans MS"/>
          <w:b w:val="0"/>
          <w:sz w:val="20"/>
        </w:rPr>
        <w:br w:type="page"/>
      </w:r>
      <w:r>
        <w:rPr>
          <w:rFonts w:ascii="Arial" w:hAnsi="Arial"/>
          <w:sz w:val="18"/>
        </w:rPr>
        <w:lastRenderedPageBreak/>
        <w:t>Beschriftung eines von 51 ausgewählten Bewohnern der Flie</w:t>
      </w:r>
      <w:r>
        <w:rPr>
          <w:rFonts w:ascii="Arial" w:hAnsi="Arial"/>
          <w:sz w:val="18"/>
        </w:rPr>
        <w:t>ß</w:t>
      </w:r>
      <w:r>
        <w:rPr>
          <w:rFonts w:ascii="Arial" w:hAnsi="Arial"/>
          <w:sz w:val="18"/>
        </w:rPr>
        <w:t>gewässer NRW’s:</w:t>
      </w:r>
    </w:p>
    <w:p>
      <w:pPr>
        <w:pStyle w:val="Textkrper"/>
        <w:pBdr>
          <w:top w:val="single" w:sz="4" w:space="1" w:color="auto"/>
          <w:left w:val="single" w:sz="4" w:space="4" w:color="auto"/>
          <w:bottom w:val="single" w:sz="4" w:space="1" w:color="auto"/>
          <w:right w:val="single" w:sz="4" w:space="4" w:color="auto"/>
        </w:pBdr>
        <w:jc w:val="both"/>
        <w:rPr>
          <w:rFonts w:ascii="Arial" w:hAnsi="Arial"/>
          <w:sz w:val="18"/>
        </w:rPr>
      </w:pPr>
    </w:p>
    <w:p>
      <w:pPr>
        <w:pStyle w:val="Textkrper"/>
        <w:pBdr>
          <w:top w:val="single" w:sz="4" w:space="1" w:color="auto"/>
          <w:left w:val="single" w:sz="4" w:space="4" w:color="auto"/>
          <w:bottom w:val="single" w:sz="4" w:space="1" w:color="auto"/>
          <w:right w:val="single" w:sz="4" w:space="4" w:color="auto"/>
        </w:pBdr>
        <w:jc w:val="both"/>
        <w:rPr>
          <w:rFonts w:ascii="Comic Sans MS" w:hAnsi="Comic Sans MS"/>
          <w:b w:val="0"/>
          <w:sz w:val="20"/>
        </w:rPr>
      </w:pPr>
      <w:r>
        <w:rPr>
          <w:rFonts w:ascii="Comic Sans MS" w:hAnsi="Comic Sans MS"/>
          <w:b w:val="0"/>
          <w:sz w:val="20"/>
        </w:rPr>
        <w:t>Eintagsfli</w:t>
      </w:r>
      <w:r>
        <w:rPr>
          <w:rFonts w:ascii="Comic Sans MS" w:hAnsi="Comic Sans MS"/>
          <w:b w:val="0"/>
          <w:sz w:val="20"/>
        </w:rPr>
        <w:t>e</w:t>
      </w:r>
      <w:r>
        <w:rPr>
          <w:rFonts w:ascii="Comic Sans MS" w:hAnsi="Comic Sans MS"/>
          <w:b w:val="0"/>
          <w:sz w:val="20"/>
        </w:rPr>
        <w:t xml:space="preserve">genlarve   </w:t>
      </w:r>
      <w:r>
        <w:rPr>
          <w:rFonts w:ascii="Comic Sans MS" w:hAnsi="Comic Sans MS"/>
          <w:b w:val="0"/>
          <w:sz w:val="20"/>
        </w:rPr>
        <w:tab/>
        <w:t xml:space="preserve">= </w:t>
      </w:r>
      <w:r>
        <w:rPr>
          <w:rFonts w:ascii="Comic Sans MS" w:hAnsi="Comic Sans MS"/>
          <w:b w:val="0"/>
          <w:sz w:val="20"/>
        </w:rPr>
        <w:tab/>
        <w:t>Deutsche Bezeichnung</w:t>
      </w:r>
    </w:p>
    <w:p>
      <w:pPr>
        <w:pStyle w:val="Textkrper"/>
        <w:pBdr>
          <w:top w:val="single" w:sz="4" w:space="1" w:color="auto"/>
          <w:left w:val="single" w:sz="4" w:space="4" w:color="auto"/>
          <w:bottom w:val="single" w:sz="4" w:space="1" w:color="auto"/>
          <w:right w:val="single" w:sz="4" w:space="4" w:color="auto"/>
        </w:pBdr>
        <w:jc w:val="both"/>
        <w:rPr>
          <w:rFonts w:ascii="Comic Sans MS" w:hAnsi="Comic Sans MS"/>
          <w:b w:val="0"/>
          <w:i/>
          <w:sz w:val="20"/>
        </w:rPr>
      </w:pPr>
      <w:r>
        <w:rPr>
          <w:rFonts w:ascii="Comic Sans MS" w:hAnsi="Comic Sans MS"/>
          <w:b w:val="0"/>
          <w:i/>
          <w:sz w:val="20"/>
        </w:rPr>
        <w:t>Heptagenia</w:t>
      </w:r>
      <w:r>
        <w:rPr>
          <w:rFonts w:ascii="Comic Sans MS" w:hAnsi="Comic Sans MS"/>
          <w:b w:val="0"/>
          <w:i/>
          <w:sz w:val="20"/>
        </w:rPr>
        <w:tab/>
      </w:r>
      <w:r>
        <w:rPr>
          <w:rFonts w:ascii="Comic Sans MS" w:hAnsi="Comic Sans MS"/>
          <w:b w:val="0"/>
          <w:i/>
          <w:sz w:val="20"/>
        </w:rPr>
        <w:tab/>
      </w:r>
      <w:r>
        <w:rPr>
          <w:rFonts w:ascii="Comic Sans MS" w:hAnsi="Comic Sans MS"/>
          <w:b w:val="0"/>
          <w:sz w:val="20"/>
        </w:rPr>
        <w:t>=</w:t>
      </w:r>
      <w:r>
        <w:rPr>
          <w:rFonts w:ascii="Comic Sans MS" w:hAnsi="Comic Sans MS"/>
          <w:b w:val="0"/>
          <w:i/>
          <w:sz w:val="20"/>
        </w:rPr>
        <w:tab/>
        <w:t>wissenschaftlicher Gattungsname</w:t>
      </w:r>
    </w:p>
    <w:p>
      <w:pPr>
        <w:pStyle w:val="Textkrper"/>
        <w:pBdr>
          <w:top w:val="single" w:sz="4" w:space="1" w:color="auto"/>
          <w:left w:val="single" w:sz="4" w:space="4" w:color="auto"/>
          <w:bottom w:val="single" w:sz="4" w:space="1" w:color="auto"/>
          <w:right w:val="single" w:sz="4" w:space="4" w:color="auto"/>
        </w:pBdr>
        <w:jc w:val="both"/>
        <w:rPr>
          <w:rFonts w:ascii="Comic Sans MS" w:hAnsi="Comic Sans MS"/>
          <w:b w:val="0"/>
          <w:sz w:val="20"/>
        </w:rPr>
      </w:pPr>
      <w:r>
        <w:rPr>
          <w:rFonts w:ascii="Comic Sans MS" w:hAnsi="Comic Sans MS"/>
          <w:b w:val="0"/>
          <w:sz w:val="20"/>
        </w:rPr>
        <w:t>8-12 mm</w:t>
      </w:r>
      <w:r>
        <w:rPr>
          <w:rFonts w:ascii="Comic Sans MS" w:hAnsi="Comic Sans MS"/>
          <w:b w:val="0"/>
          <w:sz w:val="20"/>
        </w:rPr>
        <w:tab/>
      </w:r>
      <w:r>
        <w:rPr>
          <w:rFonts w:ascii="Comic Sans MS" w:hAnsi="Comic Sans MS"/>
          <w:b w:val="0"/>
          <w:sz w:val="20"/>
        </w:rPr>
        <w:tab/>
        <w:t xml:space="preserve">=  </w:t>
      </w:r>
      <w:r>
        <w:rPr>
          <w:rFonts w:ascii="Comic Sans MS" w:hAnsi="Comic Sans MS"/>
          <w:b w:val="0"/>
          <w:sz w:val="20"/>
        </w:rPr>
        <w:tab/>
        <w:t>Größe in mm</w:t>
      </w:r>
    </w:p>
    <w:p>
      <w:pPr>
        <w:pStyle w:val="Textkrper"/>
        <w:pBdr>
          <w:top w:val="single" w:sz="4" w:space="1" w:color="auto"/>
          <w:left w:val="single" w:sz="4" w:space="4" w:color="auto"/>
          <w:bottom w:val="single" w:sz="4" w:space="1" w:color="auto"/>
          <w:right w:val="single" w:sz="4" w:space="4" w:color="auto"/>
        </w:pBdr>
        <w:jc w:val="both"/>
        <w:rPr>
          <w:rFonts w:ascii="Comic Sans MS" w:hAnsi="Comic Sans MS"/>
          <w:sz w:val="20"/>
        </w:rPr>
      </w:pPr>
    </w:p>
    <w:p>
      <w:pPr>
        <w:pStyle w:val="Textkrper"/>
        <w:pBdr>
          <w:top w:val="single" w:sz="4" w:space="1" w:color="auto"/>
          <w:left w:val="single" w:sz="4" w:space="4" w:color="auto"/>
          <w:bottom w:val="single" w:sz="4" w:space="1" w:color="auto"/>
          <w:right w:val="single" w:sz="4" w:space="4" w:color="auto"/>
        </w:pBdr>
        <w:jc w:val="both"/>
        <w:rPr>
          <w:rFonts w:ascii="Comic Sans MS" w:hAnsi="Comic Sans MS"/>
          <w:b w:val="0"/>
          <w:sz w:val="20"/>
        </w:rPr>
      </w:pPr>
      <w:r>
        <w:rPr>
          <w:rFonts w:ascii="Comic Sans MS" w:hAnsi="Comic Sans MS"/>
          <w:b w:val="0"/>
          <w:sz w:val="20"/>
        </w:rPr>
        <w:t>2,0</w:t>
      </w:r>
      <w:r>
        <w:rPr>
          <w:rFonts w:ascii="Comic Sans MS" w:hAnsi="Comic Sans MS"/>
          <w:b w:val="0"/>
          <w:sz w:val="20"/>
        </w:rPr>
        <w:tab/>
      </w:r>
      <w:r>
        <w:rPr>
          <w:rFonts w:ascii="Comic Sans MS" w:hAnsi="Comic Sans MS"/>
          <w:b w:val="0"/>
          <w:sz w:val="20"/>
        </w:rPr>
        <w:tab/>
      </w:r>
      <w:r>
        <w:rPr>
          <w:rFonts w:ascii="Comic Sans MS" w:hAnsi="Comic Sans MS"/>
          <w:b w:val="0"/>
          <w:sz w:val="20"/>
        </w:rPr>
        <w:tab/>
        <w:t>=</w:t>
      </w:r>
      <w:r>
        <w:rPr>
          <w:rFonts w:ascii="Comic Sans MS" w:hAnsi="Comic Sans MS"/>
          <w:b w:val="0"/>
          <w:sz w:val="20"/>
        </w:rPr>
        <w:tab/>
        <w:t>Saprobiewert</w:t>
      </w:r>
    </w:p>
    <w:p>
      <w:pPr>
        <w:pStyle w:val="Textkrper"/>
        <w:pBdr>
          <w:top w:val="single" w:sz="4" w:space="1" w:color="auto"/>
          <w:left w:val="single" w:sz="4" w:space="4" w:color="auto"/>
          <w:bottom w:val="single" w:sz="4" w:space="1" w:color="auto"/>
          <w:right w:val="single" w:sz="4" w:space="4" w:color="auto"/>
        </w:pBdr>
        <w:jc w:val="both"/>
        <w:rPr>
          <w:rFonts w:ascii="Comic Sans MS" w:hAnsi="Comic Sans MS"/>
          <w:b w:val="0"/>
          <w:sz w:val="20"/>
        </w:rPr>
      </w:pPr>
      <w:r>
        <w:rPr>
          <w:rFonts w:ascii="Comic Sans MS" w:hAnsi="Comic Sans MS"/>
          <w:b w:val="0"/>
          <w:sz w:val="20"/>
        </w:rPr>
        <w:t>4</w:t>
      </w:r>
      <w:r>
        <w:rPr>
          <w:rFonts w:ascii="Comic Sans MS" w:hAnsi="Comic Sans MS"/>
          <w:b w:val="0"/>
          <w:sz w:val="20"/>
        </w:rPr>
        <w:tab/>
      </w:r>
      <w:r>
        <w:rPr>
          <w:rFonts w:ascii="Comic Sans MS" w:hAnsi="Comic Sans MS"/>
          <w:b w:val="0"/>
          <w:sz w:val="20"/>
        </w:rPr>
        <w:tab/>
      </w:r>
      <w:r>
        <w:rPr>
          <w:rFonts w:ascii="Comic Sans MS" w:hAnsi="Comic Sans MS"/>
          <w:b w:val="0"/>
          <w:sz w:val="20"/>
        </w:rPr>
        <w:tab/>
        <w:t>=</w:t>
      </w:r>
      <w:r>
        <w:rPr>
          <w:rFonts w:ascii="Comic Sans MS" w:hAnsi="Comic Sans MS"/>
          <w:b w:val="0"/>
          <w:sz w:val="20"/>
        </w:rPr>
        <w:tab/>
        <w:t>„Treuewert“, Indik</w:t>
      </w:r>
      <w:r>
        <w:rPr>
          <w:rFonts w:ascii="Comic Sans MS" w:hAnsi="Comic Sans MS"/>
          <w:b w:val="0"/>
          <w:sz w:val="20"/>
        </w:rPr>
        <w:t>a</w:t>
      </w:r>
      <w:r>
        <w:rPr>
          <w:rFonts w:ascii="Comic Sans MS" w:hAnsi="Comic Sans MS"/>
          <w:b w:val="0"/>
          <w:sz w:val="20"/>
        </w:rPr>
        <w:t>tionsgewicht</w:t>
      </w:r>
    </w:p>
    <w:p>
      <w:pPr>
        <w:pStyle w:val="Textkrper"/>
        <w:jc w:val="both"/>
        <w:rPr>
          <w:rFonts w:ascii="Comic Sans MS" w:hAnsi="Comic Sans MS"/>
          <w:b w:val="0"/>
          <w:sz w:val="20"/>
        </w:rPr>
      </w:pPr>
    </w:p>
    <w:p>
      <w:pPr>
        <w:pStyle w:val="berschrift2"/>
        <w:jc w:val="both"/>
        <w:rPr>
          <w:rFonts w:ascii="Comic Sans MS" w:hAnsi="Comic Sans MS"/>
          <w:b w:val="0"/>
          <w:sz w:val="20"/>
        </w:rPr>
      </w:pPr>
      <w:r>
        <w:rPr>
          <w:rFonts w:ascii="Comic Sans MS" w:hAnsi="Comic Sans MS"/>
          <w:b w:val="0"/>
          <w:sz w:val="20"/>
        </w:rPr>
        <w:t>Das Poster zeigt anschaulich einen kleinen Ausschnitt typischer, wirbelloser Tiere der heim</w:t>
      </w:r>
      <w:r>
        <w:rPr>
          <w:rFonts w:ascii="Comic Sans MS" w:hAnsi="Comic Sans MS"/>
          <w:b w:val="0"/>
          <w:sz w:val="20"/>
        </w:rPr>
        <w:t>i</w:t>
      </w:r>
      <w:r>
        <w:rPr>
          <w:rFonts w:ascii="Comic Sans MS" w:hAnsi="Comic Sans MS"/>
          <w:b w:val="0"/>
          <w:sz w:val="20"/>
        </w:rPr>
        <w:t>schen Fliessgewässer, angeordnet in einer Spanne von Besiedlern der besten Gewässergüteklasse („sehr gut“) bis zu Bewohnern übermäßig verschmutzter Abschnitte („schlecht“). Das Vorkommen und die Häufigkeit solcher Organismen, von denen jede Art oder Gattung einen „Saprobienwert“ genannten Indikationswert hat, werden zu einem „Saprobienindex“ für die untersuchte Prob</w:t>
      </w:r>
      <w:r>
        <w:rPr>
          <w:rFonts w:ascii="Comic Sans MS" w:hAnsi="Comic Sans MS"/>
          <w:b w:val="0"/>
          <w:sz w:val="20"/>
        </w:rPr>
        <w:t>e</w:t>
      </w:r>
      <w:r>
        <w:rPr>
          <w:rFonts w:ascii="Comic Sans MS" w:hAnsi="Comic Sans MS"/>
          <w:b w:val="0"/>
          <w:sz w:val="20"/>
        </w:rPr>
        <w:t>stelle verrechnet. Danach kann diese dann einer von fünf „Gewässergüteklassen“ von „sehr gut“ bis „schlecht“ zug</w:t>
      </w:r>
      <w:r>
        <w:rPr>
          <w:rFonts w:ascii="Comic Sans MS" w:hAnsi="Comic Sans MS"/>
          <w:b w:val="0"/>
          <w:sz w:val="20"/>
        </w:rPr>
        <w:t>e</w:t>
      </w:r>
      <w:r>
        <w:rPr>
          <w:rFonts w:ascii="Comic Sans MS" w:hAnsi="Comic Sans MS"/>
          <w:b w:val="0"/>
          <w:sz w:val="20"/>
        </w:rPr>
        <w:t>ordnet werden.</w:t>
      </w:r>
    </w:p>
    <w:p>
      <w:pPr>
        <w:jc w:val="both"/>
        <w:rPr>
          <w:rFonts w:ascii="Comic Sans MS" w:hAnsi="Comic Sans MS"/>
          <w:color w:val="FF0000"/>
          <w:sz w:val="20"/>
        </w:rPr>
      </w:pPr>
    </w:p>
    <w:p>
      <w:pPr>
        <w:jc w:val="both"/>
        <w:rPr>
          <w:rFonts w:ascii="Comic Sans MS" w:hAnsi="Comic Sans MS"/>
          <w:b/>
          <w:sz w:val="20"/>
        </w:rPr>
      </w:pPr>
      <w:r>
        <w:rPr>
          <w:rFonts w:ascii="Comic Sans MS" w:hAnsi="Comic Sans MS"/>
          <w:b/>
          <w:sz w:val="20"/>
        </w:rPr>
        <w:t>Gewässergütebestimmung in der Praxis</w:t>
      </w:r>
    </w:p>
    <w:p>
      <w:pPr>
        <w:pStyle w:val="berschrift2"/>
        <w:jc w:val="both"/>
        <w:rPr>
          <w:rFonts w:ascii="Comic Sans MS" w:hAnsi="Comic Sans MS"/>
          <w:b w:val="0"/>
          <w:sz w:val="20"/>
        </w:rPr>
      </w:pPr>
      <w:r>
        <w:rPr>
          <w:rFonts w:ascii="Comic Sans MS" w:hAnsi="Comic Sans MS"/>
          <w:b w:val="0"/>
          <w:sz w:val="20"/>
        </w:rPr>
        <w:t>Die Bestimmung der Gewässergüte nach dem Saprobiensystem kann – natürlich in vereinfachter Form – auch in der Schule durchgeführt werden: Mit einfachem Gerät (Handnetz) werden alle vorhandenen Teil-Lebensräume (Steine, Sand, Wasserpflanzen, Holz, Falllaub u.a.) abgesammelt. Die gefundenen Tiere werden so weit wie möglich vor Ort mithilfe einer Lupe bestimmt (minde</w:t>
      </w:r>
      <w:r>
        <w:rPr>
          <w:rFonts w:ascii="Comic Sans MS" w:hAnsi="Comic Sans MS"/>
          <w:b w:val="0"/>
          <w:sz w:val="20"/>
        </w:rPr>
        <w:t>s</w:t>
      </w:r>
      <w:r>
        <w:rPr>
          <w:rFonts w:ascii="Comic Sans MS" w:hAnsi="Comic Sans MS"/>
          <w:b w:val="0"/>
          <w:sz w:val="20"/>
        </w:rPr>
        <w:t xml:space="preserve">tens 10-fache Vergrößerung). Das vorliegende Poster stellt dabei eine erste Arbeitshilfe dar. Allerdings sollte klar sein, dass es sich hier um eine kleine Auswahl an „Saprobien“ (Tiere, die Hinweise auf Gewässerverschmutzung liefern) handelt und es den Zeichnungen oft täuschend ähnlich sehende Arten gibt, die aber einen anderen Aussagewert haben können. </w:t>
      </w:r>
    </w:p>
    <w:p/>
    <w:p>
      <w:pPr>
        <w:pStyle w:val="berschrift2"/>
        <w:jc w:val="both"/>
        <w:rPr>
          <w:rFonts w:ascii="Comic Sans MS" w:hAnsi="Comic Sans MS"/>
          <w:b w:val="0"/>
          <w:sz w:val="20"/>
        </w:rPr>
      </w:pPr>
      <w:r>
        <w:rPr>
          <w:rFonts w:ascii="Comic Sans MS" w:hAnsi="Comic Sans MS"/>
          <w:b w:val="0"/>
          <w:sz w:val="20"/>
        </w:rPr>
        <w:t xml:space="preserve">Unter Verwendung spezieller Bestimmungsliteratur kann erheblich genauer bestimmt werden (Empfehlungen finden sich am Ende des Textes); eine genaue Bestimmung ist allerdings nur mit guten Stereolupen bei bis zu 100-facher Vergrößerung möglich. </w:t>
      </w:r>
    </w:p>
    <w:p>
      <w:pPr>
        <w:pStyle w:val="berschrift2"/>
        <w:jc w:val="both"/>
        <w:rPr>
          <w:rFonts w:ascii="Comic Sans MS" w:hAnsi="Comic Sans MS"/>
          <w:b w:val="0"/>
          <w:sz w:val="20"/>
        </w:rPr>
      </w:pPr>
    </w:p>
    <w:p>
      <w:pPr>
        <w:pStyle w:val="berschrift2"/>
        <w:jc w:val="both"/>
        <w:rPr>
          <w:rFonts w:ascii="Comic Sans MS" w:hAnsi="Comic Sans MS"/>
          <w:sz w:val="20"/>
        </w:rPr>
      </w:pPr>
      <w:r>
        <w:rPr>
          <w:rFonts w:ascii="Comic Sans MS" w:hAnsi="Comic Sans MS"/>
          <w:sz w:val="20"/>
        </w:rPr>
        <w:t>Wie berechnet man den Saprobienindex?</w:t>
      </w:r>
    </w:p>
    <w:p>
      <w:pPr>
        <w:pStyle w:val="berschrift2"/>
        <w:jc w:val="both"/>
        <w:rPr>
          <w:rFonts w:ascii="Comic Sans MS" w:hAnsi="Comic Sans MS"/>
          <w:b w:val="0"/>
          <w:sz w:val="20"/>
        </w:rPr>
      </w:pPr>
      <w:r>
        <w:rPr>
          <w:rFonts w:ascii="Comic Sans MS" w:hAnsi="Comic Sans MS"/>
          <w:b w:val="0"/>
          <w:sz w:val="20"/>
        </w:rPr>
        <w:t>Der Saprobienindex ist der Mittelwert aller gefundenen Organismen, die einen Saprobiewert aufweisen. Die Häufigkeit der Tiere muss dabei berücksichtigt werden, denn es ist von entsche</w:t>
      </w:r>
      <w:r>
        <w:rPr>
          <w:rFonts w:ascii="Comic Sans MS" w:hAnsi="Comic Sans MS"/>
          <w:b w:val="0"/>
          <w:sz w:val="20"/>
        </w:rPr>
        <w:t>i</w:t>
      </w:r>
      <w:r>
        <w:rPr>
          <w:rFonts w:ascii="Comic Sans MS" w:hAnsi="Comic Sans MS"/>
          <w:b w:val="0"/>
          <w:sz w:val="20"/>
        </w:rPr>
        <w:t xml:space="preserve">dender Bedeutung, ob man </w:t>
      </w:r>
      <w:r>
        <w:rPr>
          <w:rFonts w:ascii="Comic Sans MS" w:hAnsi="Comic Sans MS"/>
          <w:sz w:val="20"/>
        </w:rPr>
        <w:t>eine</w:t>
      </w:r>
      <w:r>
        <w:rPr>
          <w:rFonts w:ascii="Comic Sans MS" w:hAnsi="Comic Sans MS"/>
          <w:b w:val="0"/>
          <w:sz w:val="20"/>
        </w:rPr>
        <w:t xml:space="preserve"> Wasserassel gefunden hat (die bei </w:t>
      </w:r>
      <w:r>
        <w:rPr>
          <w:rFonts w:ascii="Comic Sans MS" w:hAnsi="Comic Sans MS"/>
          <w:sz w:val="20"/>
        </w:rPr>
        <w:t>jeder</w:t>
      </w:r>
      <w:r>
        <w:rPr>
          <w:rFonts w:ascii="Comic Sans MS" w:hAnsi="Comic Sans MS"/>
          <w:b w:val="0"/>
          <w:sz w:val="20"/>
        </w:rPr>
        <w:t xml:space="preserve"> Wasserqualität verei</w:t>
      </w:r>
      <w:r>
        <w:rPr>
          <w:rFonts w:ascii="Comic Sans MS" w:hAnsi="Comic Sans MS"/>
          <w:b w:val="0"/>
          <w:sz w:val="20"/>
        </w:rPr>
        <w:t>n</w:t>
      </w:r>
      <w:r>
        <w:rPr>
          <w:rFonts w:ascii="Comic Sans MS" w:hAnsi="Comic Sans MS"/>
          <w:b w:val="0"/>
          <w:sz w:val="20"/>
        </w:rPr>
        <w:t xml:space="preserve">zelt vorkommen kann) oder </w:t>
      </w:r>
      <w:r>
        <w:rPr>
          <w:rFonts w:ascii="Comic Sans MS" w:hAnsi="Comic Sans MS"/>
          <w:sz w:val="20"/>
        </w:rPr>
        <w:t>viele</w:t>
      </w:r>
      <w:r>
        <w:rPr>
          <w:rFonts w:ascii="Comic Sans MS" w:hAnsi="Comic Sans MS"/>
          <w:b w:val="0"/>
          <w:sz w:val="20"/>
        </w:rPr>
        <w:t xml:space="preserve"> (ein sicheres Zeichen für eine Belastung!). Hierzu hat sich eine Häufigkeitsangabe nach fünf Stufen b</w:t>
      </w:r>
      <w:r>
        <w:rPr>
          <w:rFonts w:ascii="Comic Sans MS" w:hAnsi="Comic Sans MS"/>
          <w:b w:val="0"/>
          <w:sz w:val="20"/>
        </w:rPr>
        <w:t>e</w:t>
      </w:r>
      <w:r>
        <w:rPr>
          <w:rFonts w:ascii="Comic Sans MS" w:hAnsi="Comic Sans MS"/>
          <w:b w:val="0"/>
          <w:sz w:val="20"/>
        </w:rPr>
        <w:t>währt:</w:t>
      </w:r>
    </w:p>
    <w:p>
      <w:pPr>
        <w:jc w:val="both"/>
        <w:rPr>
          <w:rFonts w:ascii="Comic Sans MS" w:hAnsi="Comic Sans M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880"/>
      </w:tblGrid>
      <w:tr>
        <w:tblPrEx>
          <w:tblCellMar>
            <w:top w:w="0" w:type="dxa"/>
            <w:bottom w:w="0" w:type="dxa"/>
          </w:tblCellMar>
        </w:tblPrEx>
        <w:trPr>
          <w:trHeight w:val="186"/>
        </w:trPr>
        <w:tc>
          <w:tcPr>
            <w:tcW w:w="2700" w:type="dxa"/>
          </w:tcPr>
          <w:p>
            <w:pPr>
              <w:pStyle w:val="berschrift2"/>
              <w:framePr w:hSpace="425" w:wrap="around" w:vAnchor="text" w:hAnchor="text" w:x="69" w:y="1"/>
              <w:spacing w:before="20" w:after="20"/>
              <w:jc w:val="center"/>
              <w:rPr>
                <w:rFonts w:ascii="Comic Sans MS" w:hAnsi="Comic Sans MS"/>
                <w:sz w:val="18"/>
              </w:rPr>
            </w:pPr>
            <w:r>
              <w:rPr>
                <w:rFonts w:ascii="Comic Sans MS" w:hAnsi="Comic Sans MS"/>
                <w:sz w:val="18"/>
              </w:rPr>
              <w:t>Anzahl gefundene Tiere</w:t>
            </w:r>
          </w:p>
        </w:tc>
        <w:tc>
          <w:tcPr>
            <w:tcW w:w="2880" w:type="dxa"/>
          </w:tcPr>
          <w:p>
            <w:pPr>
              <w:pStyle w:val="berschrift2"/>
              <w:framePr w:hSpace="425" w:wrap="around" w:vAnchor="text" w:hAnchor="text" w:x="69" w:y="1"/>
              <w:spacing w:before="20" w:after="20"/>
              <w:jc w:val="center"/>
              <w:rPr>
                <w:rFonts w:ascii="Comic Sans MS" w:hAnsi="Comic Sans MS"/>
                <w:sz w:val="18"/>
              </w:rPr>
            </w:pPr>
            <w:r>
              <w:rPr>
                <w:rFonts w:ascii="Comic Sans MS" w:hAnsi="Comic Sans MS"/>
                <w:sz w:val="18"/>
              </w:rPr>
              <w:t>Häufigkeitsstufe</w:t>
            </w:r>
          </w:p>
        </w:tc>
      </w:tr>
      <w:tr>
        <w:tblPrEx>
          <w:tblCellMar>
            <w:top w:w="0" w:type="dxa"/>
            <w:bottom w:w="0" w:type="dxa"/>
          </w:tblCellMar>
        </w:tblPrEx>
        <w:trPr>
          <w:trHeight w:val="184"/>
        </w:trPr>
        <w:tc>
          <w:tcPr>
            <w:tcW w:w="2700" w:type="dxa"/>
          </w:tcPr>
          <w:p>
            <w:pPr>
              <w:pStyle w:val="berschrift2"/>
              <w:framePr w:hSpace="425" w:wrap="around" w:vAnchor="text" w:hAnchor="text" w:x="69" w:y="1"/>
              <w:spacing w:before="20" w:after="20"/>
              <w:jc w:val="center"/>
              <w:rPr>
                <w:rFonts w:ascii="Comic Sans MS" w:hAnsi="Comic Sans MS"/>
                <w:b w:val="0"/>
                <w:sz w:val="18"/>
              </w:rPr>
            </w:pPr>
            <w:r>
              <w:rPr>
                <w:rFonts w:ascii="Comic Sans MS" w:hAnsi="Comic Sans MS"/>
                <w:b w:val="0"/>
                <w:sz w:val="18"/>
              </w:rPr>
              <w:t>1 Tier</w:t>
            </w:r>
          </w:p>
        </w:tc>
        <w:tc>
          <w:tcPr>
            <w:tcW w:w="2880" w:type="dxa"/>
          </w:tcPr>
          <w:p>
            <w:pPr>
              <w:pStyle w:val="berschrift2"/>
              <w:framePr w:hSpace="425" w:wrap="around" w:vAnchor="text" w:hAnchor="text" w:x="69" w:y="1"/>
              <w:spacing w:before="20" w:after="20"/>
              <w:jc w:val="center"/>
              <w:rPr>
                <w:rFonts w:ascii="Comic Sans MS" w:hAnsi="Comic Sans MS"/>
                <w:b w:val="0"/>
                <w:sz w:val="18"/>
              </w:rPr>
            </w:pPr>
            <w:r>
              <w:rPr>
                <w:rFonts w:ascii="Comic Sans MS" w:hAnsi="Comic Sans MS"/>
                <w:b w:val="0"/>
                <w:sz w:val="18"/>
              </w:rPr>
              <w:t>Einzelfund</w:t>
            </w:r>
          </w:p>
        </w:tc>
      </w:tr>
      <w:tr>
        <w:tblPrEx>
          <w:tblCellMar>
            <w:top w:w="0" w:type="dxa"/>
            <w:bottom w:w="0" w:type="dxa"/>
          </w:tblCellMar>
        </w:tblPrEx>
        <w:trPr>
          <w:trHeight w:val="184"/>
        </w:trPr>
        <w:tc>
          <w:tcPr>
            <w:tcW w:w="2700" w:type="dxa"/>
          </w:tcPr>
          <w:p>
            <w:pPr>
              <w:pStyle w:val="berschrift2"/>
              <w:framePr w:hSpace="425" w:wrap="around" w:vAnchor="text" w:hAnchor="text" w:x="69" w:y="1"/>
              <w:spacing w:before="20" w:after="20"/>
              <w:jc w:val="center"/>
              <w:rPr>
                <w:rFonts w:ascii="Comic Sans MS" w:hAnsi="Comic Sans MS"/>
                <w:b w:val="0"/>
                <w:sz w:val="18"/>
              </w:rPr>
            </w:pPr>
            <w:r>
              <w:rPr>
                <w:rFonts w:ascii="Comic Sans MS" w:hAnsi="Comic Sans MS"/>
                <w:b w:val="0"/>
                <w:sz w:val="18"/>
              </w:rPr>
              <w:t>2-5 Tiere</w:t>
            </w:r>
          </w:p>
        </w:tc>
        <w:tc>
          <w:tcPr>
            <w:tcW w:w="2880" w:type="dxa"/>
          </w:tcPr>
          <w:p>
            <w:pPr>
              <w:pStyle w:val="berschrift2"/>
              <w:framePr w:hSpace="425" w:wrap="around" w:vAnchor="text" w:hAnchor="text" w:x="69" w:y="1"/>
              <w:spacing w:before="20" w:after="20"/>
              <w:jc w:val="center"/>
              <w:rPr>
                <w:rFonts w:ascii="Comic Sans MS" w:hAnsi="Comic Sans MS"/>
                <w:b w:val="0"/>
                <w:sz w:val="18"/>
              </w:rPr>
            </w:pPr>
            <w:r>
              <w:rPr>
                <w:rFonts w:ascii="Comic Sans MS" w:hAnsi="Comic Sans MS"/>
                <w:b w:val="0"/>
                <w:sz w:val="18"/>
              </w:rPr>
              <w:t>Selten</w:t>
            </w:r>
          </w:p>
        </w:tc>
      </w:tr>
      <w:tr>
        <w:tblPrEx>
          <w:tblCellMar>
            <w:top w:w="0" w:type="dxa"/>
            <w:bottom w:w="0" w:type="dxa"/>
          </w:tblCellMar>
        </w:tblPrEx>
        <w:trPr>
          <w:trHeight w:val="184"/>
        </w:trPr>
        <w:tc>
          <w:tcPr>
            <w:tcW w:w="2700" w:type="dxa"/>
          </w:tcPr>
          <w:p>
            <w:pPr>
              <w:pStyle w:val="berschrift2"/>
              <w:framePr w:hSpace="425" w:wrap="around" w:vAnchor="text" w:hAnchor="text" w:x="69" w:y="1"/>
              <w:spacing w:before="20" w:after="20"/>
              <w:jc w:val="center"/>
              <w:rPr>
                <w:rFonts w:ascii="Comic Sans MS" w:hAnsi="Comic Sans MS"/>
                <w:b w:val="0"/>
                <w:sz w:val="18"/>
              </w:rPr>
            </w:pPr>
            <w:r>
              <w:rPr>
                <w:rFonts w:ascii="Comic Sans MS" w:hAnsi="Comic Sans MS"/>
                <w:b w:val="0"/>
                <w:sz w:val="18"/>
              </w:rPr>
              <w:t>6-15 Tiere</w:t>
            </w:r>
          </w:p>
        </w:tc>
        <w:tc>
          <w:tcPr>
            <w:tcW w:w="2880" w:type="dxa"/>
          </w:tcPr>
          <w:p>
            <w:pPr>
              <w:pStyle w:val="berschrift2"/>
              <w:framePr w:hSpace="425" w:wrap="around" w:vAnchor="text" w:hAnchor="text" w:x="69" w:y="1"/>
              <w:spacing w:before="20" w:after="20"/>
              <w:jc w:val="center"/>
              <w:rPr>
                <w:rFonts w:ascii="Comic Sans MS" w:hAnsi="Comic Sans MS"/>
                <w:b w:val="0"/>
                <w:sz w:val="18"/>
              </w:rPr>
            </w:pPr>
            <w:r>
              <w:rPr>
                <w:rFonts w:ascii="Comic Sans MS" w:hAnsi="Comic Sans MS"/>
                <w:b w:val="0"/>
                <w:sz w:val="18"/>
              </w:rPr>
              <w:t>Mittlere Häufigkeit</w:t>
            </w:r>
          </w:p>
        </w:tc>
      </w:tr>
      <w:tr>
        <w:tblPrEx>
          <w:tblCellMar>
            <w:top w:w="0" w:type="dxa"/>
            <w:bottom w:w="0" w:type="dxa"/>
          </w:tblCellMar>
        </w:tblPrEx>
        <w:trPr>
          <w:trHeight w:val="184"/>
        </w:trPr>
        <w:tc>
          <w:tcPr>
            <w:tcW w:w="2700" w:type="dxa"/>
          </w:tcPr>
          <w:p>
            <w:pPr>
              <w:pStyle w:val="berschrift2"/>
              <w:framePr w:hSpace="425" w:wrap="around" w:vAnchor="text" w:hAnchor="text" w:x="69" w:y="1"/>
              <w:spacing w:before="20" w:after="20"/>
              <w:jc w:val="center"/>
              <w:rPr>
                <w:rFonts w:ascii="Comic Sans MS" w:hAnsi="Comic Sans MS"/>
                <w:b w:val="0"/>
                <w:sz w:val="18"/>
              </w:rPr>
            </w:pPr>
            <w:r>
              <w:rPr>
                <w:rFonts w:ascii="Comic Sans MS" w:hAnsi="Comic Sans MS"/>
                <w:b w:val="0"/>
                <w:sz w:val="18"/>
              </w:rPr>
              <w:t>16-50 Tiere</w:t>
            </w:r>
          </w:p>
        </w:tc>
        <w:tc>
          <w:tcPr>
            <w:tcW w:w="2880" w:type="dxa"/>
          </w:tcPr>
          <w:p>
            <w:pPr>
              <w:pStyle w:val="berschrift2"/>
              <w:framePr w:hSpace="425" w:wrap="around" w:vAnchor="text" w:hAnchor="text" w:x="69" w:y="1"/>
              <w:spacing w:before="20" w:after="20"/>
              <w:jc w:val="center"/>
              <w:rPr>
                <w:rFonts w:ascii="Comic Sans MS" w:hAnsi="Comic Sans MS"/>
                <w:b w:val="0"/>
                <w:sz w:val="18"/>
              </w:rPr>
            </w:pPr>
            <w:r>
              <w:rPr>
                <w:rFonts w:ascii="Comic Sans MS" w:hAnsi="Comic Sans MS"/>
                <w:b w:val="0"/>
                <w:sz w:val="18"/>
              </w:rPr>
              <w:t>Häufig</w:t>
            </w:r>
          </w:p>
        </w:tc>
      </w:tr>
      <w:tr>
        <w:tblPrEx>
          <w:tblCellMar>
            <w:top w:w="0" w:type="dxa"/>
            <w:bottom w:w="0" w:type="dxa"/>
          </w:tblCellMar>
        </w:tblPrEx>
        <w:trPr>
          <w:trHeight w:val="184"/>
        </w:trPr>
        <w:tc>
          <w:tcPr>
            <w:tcW w:w="2700" w:type="dxa"/>
          </w:tcPr>
          <w:p>
            <w:pPr>
              <w:pStyle w:val="berschrift2"/>
              <w:framePr w:hSpace="425" w:wrap="around" w:vAnchor="text" w:hAnchor="text" w:x="69" w:y="1"/>
              <w:spacing w:before="20" w:after="20"/>
              <w:jc w:val="center"/>
              <w:rPr>
                <w:rFonts w:ascii="Comic Sans MS" w:hAnsi="Comic Sans MS"/>
                <w:b w:val="0"/>
                <w:sz w:val="18"/>
              </w:rPr>
            </w:pPr>
            <w:r>
              <w:rPr>
                <w:rFonts w:ascii="Comic Sans MS" w:hAnsi="Comic Sans MS"/>
                <w:b w:val="0"/>
                <w:sz w:val="18"/>
              </w:rPr>
              <w:t>über 50 Tiere</w:t>
            </w:r>
          </w:p>
        </w:tc>
        <w:tc>
          <w:tcPr>
            <w:tcW w:w="2880" w:type="dxa"/>
          </w:tcPr>
          <w:p>
            <w:pPr>
              <w:pStyle w:val="berschrift2"/>
              <w:framePr w:hSpace="425" w:wrap="around" w:vAnchor="text" w:hAnchor="text" w:x="69" w:y="1"/>
              <w:spacing w:before="20" w:after="20"/>
              <w:jc w:val="center"/>
              <w:rPr>
                <w:rFonts w:ascii="Comic Sans MS" w:hAnsi="Comic Sans MS"/>
                <w:b w:val="0"/>
                <w:sz w:val="18"/>
              </w:rPr>
            </w:pPr>
            <w:r>
              <w:rPr>
                <w:rFonts w:ascii="Comic Sans MS" w:hAnsi="Comic Sans MS"/>
                <w:b w:val="0"/>
                <w:sz w:val="18"/>
              </w:rPr>
              <w:t>Massenhaft</w:t>
            </w:r>
          </w:p>
        </w:tc>
      </w:tr>
    </w:tbl>
    <w:p>
      <w:pPr>
        <w:pStyle w:val="Textkrper"/>
        <w:jc w:val="both"/>
        <w:rPr>
          <w:rFonts w:ascii="Arial" w:hAnsi="Arial"/>
          <w:sz w:val="18"/>
        </w:rPr>
      </w:pPr>
    </w:p>
    <w:p>
      <w:pPr>
        <w:pStyle w:val="Textkrper"/>
        <w:jc w:val="both"/>
        <w:rPr>
          <w:rFonts w:ascii="Arial" w:hAnsi="Arial"/>
          <w:sz w:val="18"/>
        </w:rPr>
      </w:pPr>
    </w:p>
    <w:p>
      <w:pPr>
        <w:pStyle w:val="Textkrper"/>
        <w:jc w:val="both"/>
        <w:rPr>
          <w:rFonts w:ascii="Arial" w:hAnsi="Arial"/>
          <w:sz w:val="18"/>
        </w:rPr>
      </w:pPr>
    </w:p>
    <w:p>
      <w:pPr>
        <w:pStyle w:val="Textkrper"/>
        <w:jc w:val="both"/>
        <w:rPr>
          <w:rFonts w:ascii="Arial" w:hAnsi="Arial"/>
          <w:sz w:val="18"/>
        </w:rPr>
      </w:pPr>
    </w:p>
    <w:p>
      <w:pPr>
        <w:pStyle w:val="Textkrper"/>
        <w:jc w:val="both"/>
        <w:rPr>
          <w:rFonts w:ascii="Arial" w:hAnsi="Arial"/>
          <w:sz w:val="18"/>
        </w:rPr>
      </w:pPr>
    </w:p>
    <w:p>
      <w:pPr>
        <w:pStyle w:val="Textkrper"/>
        <w:jc w:val="both"/>
        <w:rPr>
          <w:rFonts w:ascii="Arial" w:hAnsi="Arial"/>
          <w:sz w:val="14"/>
        </w:rPr>
      </w:pPr>
    </w:p>
    <w:p>
      <w:pPr>
        <w:pStyle w:val="Textkrper"/>
        <w:rPr>
          <w:rFonts w:ascii="Comic Sans MS" w:hAnsi="Comic Sans MS"/>
          <w:sz w:val="18"/>
        </w:rPr>
      </w:pPr>
      <w:r>
        <w:rPr>
          <w:rFonts w:ascii="Comic Sans MS" w:hAnsi="Comic Sans MS"/>
          <w:sz w:val="18"/>
        </w:rPr>
        <w:t xml:space="preserve">Einteilung in Häufigkeitsklassen </w:t>
      </w:r>
      <w:r>
        <w:rPr>
          <w:rFonts w:ascii="Comic Sans MS" w:hAnsi="Comic Sans MS"/>
          <w:sz w:val="18"/>
        </w:rPr>
        <w:br/>
        <w:t>für einfache Besammlungen der wasse</w:t>
      </w:r>
      <w:r>
        <w:rPr>
          <w:rFonts w:ascii="Comic Sans MS" w:hAnsi="Comic Sans MS"/>
          <w:sz w:val="18"/>
        </w:rPr>
        <w:t>r</w:t>
      </w:r>
      <w:r>
        <w:rPr>
          <w:rFonts w:ascii="Comic Sans MS" w:hAnsi="Comic Sans MS"/>
          <w:sz w:val="18"/>
        </w:rPr>
        <w:t xml:space="preserve">lebenden wirbellosen Tiere. </w:t>
      </w:r>
    </w:p>
    <w:p>
      <w:pPr>
        <w:pStyle w:val="Textkrper"/>
        <w:jc w:val="both"/>
        <w:rPr>
          <w:rFonts w:ascii="Arial" w:hAnsi="Arial"/>
          <w:sz w:val="18"/>
        </w:rPr>
      </w:pPr>
    </w:p>
    <w:p>
      <w:pPr>
        <w:pStyle w:val="Textkrper2"/>
      </w:pPr>
      <w:r>
        <w:t>Die aufgeführten Organismen des Saprobiensystems weisen grundsätzlich nicht nur einen Saprobiewert auf, sondern auch einen „Indikationsgewicht“ genannten „Treuewert“, der etwas darüber aussagt, wie klar das jeweilige Tier an eine bestimmte Belastungssituation angepasst ist (von 16 = sehr klare Aussage für eine bestimmte Qualität bis 4 = nur schwache Aussage). Hierzu zwei Beispiele, die sich auch auf dem Poster fi</w:t>
      </w:r>
      <w:r>
        <w:t>n</w:t>
      </w:r>
      <w:r>
        <w:t>den:</w:t>
      </w:r>
    </w:p>
    <w:p>
      <w:pPr>
        <w:jc w:val="both"/>
        <w:rPr>
          <w:rFonts w:ascii="Comic Sans MS" w:hAnsi="Comic Sans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1"/>
        <w:gridCol w:w="1440"/>
        <w:gridCol w:w="2160"/>
        <w:gridCol w:w="4180"/>
      </w:tblGrid>
      <w:tr>
        <w:tblPrEx>
          <w:tblCellMar>
            <w:top w:w="0" w:type="dxa"/>
            <w:bottom w:w="0" w:type="dxa"/>
          </w:tblCellMar>
        </w:tblPrEx>
        <w:trPr>
          <w:trHeight w:val="420"/>
          <w:jc w:val="center"/>
        </w:trPr>
        <w:tc>
          <w:tcPr>
            <w:tcW w:w="1231" w:type="dxa"/>
          </w:tcPr>
          <w:p>
            <w:pPr>
              <w:pStyle w:val="berschrift8"/>
            </w:pPr>
            <w:r>
              <w:t>Art</w:t>
            </w:r>
          </w:p>
        </w:tc>
        <w:tc>
          <w:tcPr>
            <w:tcW w:w="1440" w:type="dxa"/>
          </w:tcPr>
          <w:p>
            <w:pPr>
              <w:jc w:val="center"/>
              <w:rPr>
                <w:rFonts w:ascii="Comic Sans MS" w:hAnsi="Comic Sans MS"/>
                <w:b/>
                <w:sz w:val="18"/>
              </w:rPr>
            </w:pPr>
            <w:r>
              <w:rPr>
                <w:rFonts w:ascii="Comic Sans MS" w:hAnsi="Comic Sans MS"/>
                <w:b/>
                <w:sz w:val="18"/>
              </w:rPr>
              <w:t>„Güteaussage“ (Sapr</w:t>
            </w:r>
            <w:r>
              <w:rPr>
                <w:rFonts w:ascii="Comic Sans MS" w:hAnsi="Comic Sans MS"/>
                <w:b/>
                <w:sz w:val="18"/>
              </w:rPr>
              <w:t>o</w:t>
            </w:r>
            <w:r>
              <w:rPr>
                <w:rFonts w:ascii="Comic Sans MS" w:hAnsi="Comic Sans MS"/>
                <w:b/>
                <w:sz w:val="18"/>
              </w:rPr>
              <w:t>biewert)</w:t>
            </w:r>
          </w:p>
        </w:tc>
        <w:tc>
          <w:tcPr>
            <w:tcW w:w="2160" w:type="dxa"/>
          </w:tcPr>
          <w:p>
            <w:pPr>
              <w:jc w:val="center"/>
              <w:rPr>
                <w:rFonts w:ascii="Comic Sans MS" w:hAnsi="Comic Sans MS"/>
                <w:b/>
                <w:sz w:val="18"/>
              </w:rPr>
            </w:pPr>
            <w:r>
              <w:rPr>
                <w:rFonts w:ascii="Comic Sans MS" w:hAnsi="Comic Sans MS"/>
                <w:b/>
                <w:sz w:val="18"/>
              </w:rPr>
              <w:t>„Treuewert“</w:t>
            </w:r>
          </w:p>
          <w:p>
            <w:pPr>
              <w:jc w:val="center"/>
              <w:rPr>
                <w:rFonts w:ascii="Comic Sans MS" w:hAnsi="Comic Sans MS"/>
                <w:b/>
                <w:sz w:val="18"/>
              </w:rPr>
            </w:pPr>
            <w:r>
              <w:rPr>
                <w:rFonts w:ascii="Comic Sans MS" w:hAnsi="Comic Sans MS"/>
                <w:b/>
                <w:sz w:val="18"/>
              </w:rPr>
              <w:t>(Indik</w:t>
            </w:r>
            <w:r>
              <w:rPr>
                <w:rFonts w:ascii="Comic Sans MS" w:hAnsi="Comic Sans MS"/>
                <w:b/>
                <w:sz w:val="18"/>
              </w:rPr>
              <w:t>a</w:t>
            </w:r>
            <w:r>
              <w:rPr>
                <w:rFonts w:ascii="Comic Sans MS" w:hAnsi="Comic Sans MS"/>
                <w:b/>
                <w:sz w:val="18"/>
              </w:rPr>
              <w:t>tionsgewicht)</w:t>
            </w:r>
          </w:p>
        </w:tc>
        <w:tc>
          <w:tcPr>
            <w:tcW w:w="4180" w:type="dxa"/>
          </w:tcPr>
          <w:p>
            <w:pPr>
              <w:pStyle w:val="berschrift6"/>
              <w:rPr>
                <w:sz w:val="18"/>
              </w:rPr>
            </w:pPr>
            <w:r>
              <w:rPr>
                <w:sz w:val="18"/>
              </w:rPr>
              <w:t>Bedeutung der beiden Werte</w:t>
            </w:r>
          </w:p>
        </w:tc>
      </w:tr>
      <w:tr>
        <w:tblPrEx>
          <w:tblCellMar>
            <w:top w:w="0" w:type="dxa"/>
            <w:bottom w:w="0" w:type="dxa"/>
          </w:tblCellMar>
        </w:tblPrEx>
        <w:trPr>
          <w:trHeight w:val="420"/>
          <w:jc w:val="center"/>
        </w:trPr>
        <w:tc>
          <w:tcPr>
            <w:tcW w:w="1231" w:type="dxa"/>
          </w:tcPr>
          <w:p>
            <w:pPr>
              <w:jc w:val="both"/>
              <w:rPr>
                <w:rFonts w:ascii="Comic Sans MS" w:hAnsi="Comic Sans MS"/>
                <w:sz w:val="18"/>
              </w:rPr>
            </w:pPr>
            <w:r>
              <w:rPr>
                <w:rFonts w:ascii="Comic Sans MS" w:hAnsi="Comic Sans MS"/>
                <w:sz w:val="18"/>
              </w:rPr>
              <w:t xml:space="preserve">Quell-Köcherfliege </w:t>
            </w:r>
            <w:r>
              <w:rPr>
                <w:rFonts w:ascii="Comic Sans MS" w:hAnsi="Comic Sans MS"/>
                <w:i/>
                <w:sz w:val="18"/>
              </w:rPr>
              <w:t>Crunoecia</w:t>
            </w:r>
          </w:p>
        </w:tc>
        <w:tc>
          <w:tcPr>
            <w:tcW w:w="1440" w:type="dxa"/>
            <w:vAlign w:val="center"/>
          </w:tcPr>
          <w:p>
            <w:pPr>
              <w:jc w:val="center"/>
              <w:rPr>
                <w:rFonts w:ascii="Comic Sans MS" w:hAnsi="Comic Sans MS"/>
                <w:sz w:val="18"/>
              </w:rPr>
            </w:pPr>
            <w:r>
              <w:rPr>
                <w:rFonts w:ascii="Comic Sans MS" w:hAnsi="Comic Sans MS"/>
                <w:sz w:val="18"/>
              </w:rPr>
              <w:t>1,0</w:t>
            </w:r>
          </w:p>
        </w:tc>
        <w:tc>
          <w:tcPr>
            <w:tcW w:w="2160" w:type="dxa"/>
            <w:vAlign w:val="center"/>
          </w:tcPr>
          <w:p>
            <w:pPr>
              <w:jc w:val="center"/>
              <w:rPr>
                <w:rFonts w:ascii="Comic Sans MS" w:hAnsi="Comic Sans MS"/>
                <w:sz w:val="18"/>
              </w:rPr>
            </w:pPr>
            <w:r>
              <w:rPr>
                <w:rFonts w:ascii="Comic Sans MS" w:hAnsi="Comic Sans MS"/>
                <w:sz w:val="18"/>
              </w:rPr>
              <w:t>16</w:t>
            </w:r>
          </w:p>
        </w:tc>
        <w:tc>
          <w:tcPr>
            <w:tcW w:w="4180" w:type="dxa"/>
          </w:tcPr>
          <w:p>
            <w:pPr>
              <w:pStyle w:val="Kommentartext"/>
              <w:rPr>
                <w:rFonts w:ascii="Comic Sans MS" w:hAnsi="Comic Sans MS"/>
                <w:sz w:val="18"/>
              </w:rPr>
            </w:pPr>
            <w:r>
              <w:rPr>
                <w:rFonts w:ascii="Comic Sans MS" w:hAnsi="Comic Sans MS"/>
                <w:sz w:val="18"/>
              </w:rPr>
              <w:t>Indikator für sauberstes Wasser; auf die G</w:t>
            </w:r>
            <w:r>
              <w:rPr>
                <w:rFonts w:ascii="Comic Sans MS" w:hAnsi="Comic Sans MS"/>
                <w:sz w:val="18"/>
              </w:rPr>
              <w:t>ü</w:t>
            </w:r>
            <w:r>
              <w:rPr>
                <w:rFonts w:ascii="Comic Sans MS" w:hAnsi="Comic Sans MS"/>
                <w:sz w:val="18"/>
              </w:rPr>
              <w:t>teklasse „sehr gut“ b</w:t>
            </w:r>
            <w:r>
              <w:rPr>
                <w:rFonts w:ascii="Comic Sans MS" w:hAnsi="Comic Sans MS"/>
                <w:sz w:val="18"/>
              </w:rPr>
              <w:t>e</w:t>
            </w:r>
            <w:r>
              <w:rPr>
                <w:rFonts w:ascii="Comic Sans MS" w:hAnsi="Comic Sans MS"/>
                <w:sz w:val="18"/>
              </w:rPr>
              <w:t>schränkt!</w:t>
            </w:r>
          </w:p>
        </w:tc>
      </w:tr>
      <w:tr>
        <w:tblPrEx>
          <w:tblCellMar>
            <w:top w:w="0" w:type="dxa"/>
            <w:bottom w:w="0" w:type="dxa"/>
          </w:tblCellMar>
        </w:tblPrEx>
        <w:trPr>
          <w:trHeight w:val="420"/>
          <w:jc w:val="center"/>
        </w:trPr>
        <w:tc>
          <w:tcPr>
            <w:tcW w:w="1231" w:type="dxa"/>
          </w:tcPr>
          <w:p>
            <w:pPr>
              <w:jc w:val="both"/>
              <w:rPr>
                <w:rFonts w:ascii="Comic Sans MS" w:hAnsi="Comic Sans MS"/>
                <w:sz w:val="18"/>
              </w:rPr>
            </w:pPr>
            <w:r>
              <w:rPr>
                <w:rFonts w:ascii="Comic Sans MS" w:hAnsi="Comic Sans MS"/>
                <w:sz w:val="18"/>
              </w:rPr>
              <w:t xml:space="preserve">Wasserassel </w:t>
            </w:r>
            <w:r>
              <w:rPr>
                <w:rFonts w:ascii="Comic Sans MS" w:hAnsi="Comic Sans MS"/>
                <w:i/>
                <w:sz w:val="18"/>
              </w:rPr>
              <w:t xml:space="preserve">Asellus </w:t>
            </w:r>
            <w:r>
              <w:rPr>
                <w:rFonts w:ascii="Comic Sans MS" w:hAnsi="Comic Sans MS"/>
                <w:i/>
                <w:sz w:val="18"/>
              </w:rPr>
              <w:br/>
            </w:r>
            <w:r>
              <w:rPr>
                <w:rFonts w:ascii="Comic Sans MS" w:hAnsi="Comic Sans MS"/>
                <w:i/>
                <w:sz w:val="18"/>
              </w:rPr>
              <w:t>a</w:t>
            </w:r>
            <w:r>
              <w:rPr>
                <w:rFonts w:ascii="Comic Sans MS" w:hAnsi="Comic Sans MS"/>
                <w:i/>
                <w:sz w:val="18"/>
              </w:rPr>
              <w:t>quaticus</w:t>
            </w:r>
          </w:p>
        </w:tc>
        <w:tc>
          <w:tcPr>
            <w:tcW w:w="1440" w:type="dxa"/>
            <w:vAlign w:val="center"/>
          </w:tcPr>
          <w:p>
            <w:pPr>
              <w:jc w:val="center"/>
              <w:rPr>
                <w:rFonts w:ascii="Comic Sans MS" w:hAnsi="Comic Sans MS"/>
                <w:sz w:val="18"/>
              </w:rPr>
            </w:pPr>
            <w:r>
              <w:rPr>
                <w:rFonts w:ascii="Comic Sans MS" w:hAnsi="Comic Sans MS"/>
                <w:sz w:val="18"/>
              </w:rPr>
              <w:t>2,8</w:t>
            </w:r>
          </w:p>
        </w:tc>
        <w:tc>
          <w:tcPr>
            <w:tcW w:w="2160" w:type="dxa"/>
            <w:vAlign w:val="center"/>
          </w:tcPr>
          <w:p>
            <w:pPr>
              <w:jc w:val="center"/>
              <w:rPr>
                <w:rFonts w:ascii="Comic Sans MS" w:hAnsi="Comic Sans MS"/>
                <w:sz w:val="18"/>
              </w:rPr>
            </w:pPr>
            <w:r>
              <w:rPr>
                <w:rFonts w:ascii="Comic Sans MS" w:hAnsi="Comic Sans MS"/>
                <w:sz w:val="18"/>
              </w:rPr>
              <w:t>4</w:t>
            </w:r>
          </w:p>
        </w:tc>
        <w:tc>
          <w:tcPr>
            <w:tcW w:w="4180" w:type="dxa"/>
          </w:tcPr>
          <w:p>
            <w:pPr>
              <w:rPr>
                <w:rFonts w:ascii="Comic Sans MS" w:hAnsi="Comic Sans MS"/>
                <w:sz w:val="18"/>
              </w:rPr>
            </w:pPr>
            <w:r>
              <w:rPr>
                <w:rFonts w:ascii="Comic Sans MS" w:hAnsi="Comic Sans MS"/>
                <w:sz w:val="18"/>
              </w:rPr>
              <w:t>Indikator für deutliche Belastung; gehört zur Gewässergüteklasse „unbefriedigend“, ist aber nicht auf diese b</w:t>
            </w:r>
            <w:r>
              <w:rPr>
                <w:rFonts w:ascii="Comic Sans MS" w:hAnsi="Comic Sans MS"/>
                <w:sz w:val="18"/>
              </w:rPr>
              <w:t>e</w:t>
            </w:r>
            <w:r>
              <w:rPr>
                <w:rFonts w:ascii="Comic Sans MS" w:hAnsi="Comic Sans MS"/>
                <w:sz w:val="18"/>
              </w:rPr>
              <w:t>schränkt!</w:t>
            </w:r>
          </w:p>
        </w:tc>
      </w:tr>
    </w:tbl>
    <w:p>
      <w:pPr>
        <w:pStyle w:val="berschrift2"/>
        <w:jc w:val="both"/>
        <w:rPr>
          <w:rFonts w:ascii="Comic Sans MS" w:hAnsi="Comic Sans MS"/>
          <w:b w:val="0"/>
          <w:sz w:val="20"/>
        </w:rPr>
      </w:pPr>
    </w:p>
    <w:p>
      <w:pPr>
        <w:pStyle w:val="berschrift2"/>
        <w:jc w:val="both"/>
        <w:rPr>
          <w:rFonts w:ascii="Comic Sans MS" w:hAnsi="Comic Sans MS"/>
          <w:b w:val="0"/>
          <w:sz w:val="20"/>
        </w:rPr>
      </w:pPr>
      <w:r>
        <w:rPr>
          <w:rFonts w:ascii="Comic Sans MS" w:hAnsi="Comic Sans MS"/>
          <w:b w:val="0"/>
          <w:noProof/>
          <w:sz w:val="20"/>
        </w:rPr>
        <mc:AlternateContent>
          <mc:Choice Requires="wps">
            <w:drawing>
              <wp:anchor distT="0" distB="0" distL="114300" distR="114300" simplePos="0" relativeHeight="251657216" behindDoc="1" locked="0" layoutInCell="0" allowOverlap="1">
                <wp:simplePos x="0" y="0"/>
                <wp:positionH relativeFrom="column">
                  <wp:posOffset>13970</wp:posOffset>
                </wp:positionH>
                <wp:positionV relativeFrom="paragraph">
                  <wp:posOffset>318770</wp:posOffset>
                </wp:positionV>
                <wp:extent cx="5760720" cy="640080"/>
                <wp:effectExtent l="0" t="0" r="0" b="0"/>
                <wp:wrapTopAndBottom/>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640080"/>
                        </a:xfrm>
                        <a:prstGeom prst="rect">
                          <a:avLst/>
                        </a:prstGeom>
                        <a:solidFill>
                          <a:srgbClr val="FFFFFF"/>
                        </a:solidFill>
                        <a:ln w="9525">
                          <a:solidFill>
                            <a:srgbClr val="000000"/>
                          </a:solidFill>
                          <a:miter lim="800000"/>
                          <a:headEnd/>
                          <a:tailEnd/>
                        </a:ln>
                      </wps:spPr>
                      <wps:txbx>
                        <w:txbxContent>
                          <w:p>
                            <w:pPr>
                              <w:pStyle w:val="Standard2"/>
                              <w:spacing w:line="240" w:lineRule="auto"/>
                              <w:ind w:left="1416" w:firstLine="708"/>
                              <w:jc w:val="both"/>
                              <w:rPr>
                                <w:rFonts w:ascii="Comic Sans MS" w:hAnsi="Comic Sans MS"/>
                                <w:sz w:val="18"/>
                              </w:rPr>
                            </w:pPr>
                            <w:r>
                              <w:rPr>
                                <w:rFonts w:ascii="Comic Sans MS" w:hAnsi="Comic Sans MS"/>
                                <w:b/>
                                <w:sz w:val="18"/>
                              </w:rPr>
                              <w:t>Summe aller Saprobiewerte x Häufigkeiten</w:t>
                            </w:r>
                            <w:r>
                              <w:rPr>
                                <w:rFonts w:ascii="Comic Sans MS" w:hAnsi="Comic Sans MS"/>
                                <w:sz w:val="18"/>
                              </w:rPr>
                              <w:t xml:space="preserve"> (x Indikationsgewic</w:t>
                            </w:r>
                            <w:r>
                              <w:rPr>
                                <w:rFonts w:ascii="Comic Sans MS" w:hAnsi="Comic Sans MS"/>
                                <w:sz w:val="18"/>
                              </w:rPr>
                              <w:t>h</w:t>
                            </w:r>
                            <w:r>
                              <w:rPr>
                                <w:rFonts w:ascii="Comic Sans MS" w:hAnsi="Comic Sans MS"/>
                                <w:sz w:val="18"/>
                              </w:rPr>
                              <w:t>te)</w:t>
                            </w:r>
                          </w:p>
                          <w:p>
                            <w:pPr>
                              <w:pStyle w:val="Standard2"/>
                              <w:spacing w:line="240" w:lineRule="auto"/>
                              <w:jc w:val="both"/>
                              <w:rPr>
                                <w:rFonts w:ascii="Comic Sans MS" w:hAnsi="Comic Sans MS"/>
                                <w:b/>
                                <w:sz w:val="18"/>
                              </w:rPr>
                            </w:pPr>
                            <w:r>
                              <w:rPr>
                                <w:rFonts w:ascii="Comic Sans MS" w:hAnsi="Comic Sans MS"/>
                                <w:b/>
                                <w:sz w:val="18"/>
                              </w:rPr>
                              <w:t xml:space="preserve">Saprobienindex = </w:t>
                            </w:r>
                          </w:p>
                          <w:p>
                            <w:pPr>
                              <w:pStyle w:val="Standard2"/>
                              <w:spacing w:line="240" w:lineRule="auto"/>
                              <w:jc w:val="both"/>
                              <w:rPr>
                                <w:rFonts w:ascii="Comic Sans MS" w:hAnsi="Comic Sans MS"/>
                                <w:sz w:val="18"/>
                              </w:rPr>
                            </w:pPr>
                            <w:r>
                              <w:rPr>
                                <w:rFonts w:ascii="Comic Sans MS" w:hAnsi="Comic Sans MS"/>
                                <w:sz w:val="18"/>
                              </w:rPr>
                              <w:tab/>
                            </w:r>
                            <w:r>
                              <w:rPr>
                                <w:rFonts w:ascii="Comic Sans MS" w:hAnsi="Comic Sans MS"/>
                                <w:sz w:val="18"/>
                              </w:rPr>
                              <w:tab/>
                              <w:t xml:space="preserve">        </w:t>
                            </w:r>
                            <w:r>
                              <w:rPr>
                                <w:rFonts w:ascii="Comic Sans MS" w:hAnsi="Comic Sans MS"/>
                                <w:sz w:val="18"/>
                              </w:rPr>
                              <w:tab/>
                            </w:r>
                            <w:r>
                              <w:rPr>
                                <w:rFonts w:ascii="Comic Sans MS" w:hAnsi="Comic Sans MS"/>
                                <w:sz w:val="18"/>
                              </w:rPr>
                              <w:tab/>
                            </w:r>
                            <w:r>
                              <w:rPr>
                                <w:rFonts w:ascii="Comic Sans MS" w:hAnsi="Comic Sans MS"/>
                                <w:b/>
                                <w:sz w:val="18"/>
                              </w:rPr>
                              <w:t>Summe aller Häufigkeiten</w:t>
                            </w:r>
                            <w:r>
                              <w:rPr>
                                <w:rFonts w:ascii="Comic Sans MS" w:hAnsi="Comic Sans MS"/>
                                <w:sz w:val="18"/>
                              </w:rPr>
                              <w:t xml:space="preserve"> (x Indikationsg</w:t>
                            </w:r>
                            <w:r>
                              <w:rPr>
                                <w:rFonts w:ascii="Comic Sans MS" w:hAnsi="Comic Sans MS"/>
                                <w:sz w:val="18"/>
                              </w:rPr>
                              <w:t>e</w:t>
                            </w:r>
                            <w:r>
                              <w:rPr>
                                <w:rFonts w:ascii="Comic Sans MS" w:hAnsi="Comic Sans MS"/>
                                <w:sz w:val="18"/>
                              </w:rPr>
                              <w:t>wichte)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1.1pt;margin-top:25.1pt;width:453.6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" o:allowincell="f">
                <v:textbox>
                  <w:txbxContent>
                    <w:p>
                      <w:pPr>
                        <w:pStyle w:val="Standard2"/>
                        <w:spacing w:line="240" w:lineRule="auto"/>
                        <w:ind w:left="1416" w:firstLine="708"/>
                        <w:jc w:val="both"/>
                        <w:rPr>
                          <w:rFonts w:ascii="Comic Sans MS" w:hAnsi="Comic Sans MS"/>
                          <w:sz w:val="18"/>
                        </w:rPr>
                      </w:pPr>
                      <w:r>
                        <w:rPr>
                          <w:rFonts w:ascii="Comic Sans MS" w:hAnsi="Comic Sans MS"/>
                          <w:b/>
                          <w:sz w:val="18"/>
                        </w:rPr>
                        <w:t>Summe aller Saprobiewerte x Häufigkeiten</w:t>
                      </w:r>
                      <w:r>
                        <w:rPr>
                          <w:rFonts w:ascii="Comic Sans MS" w:hAnsi="Comic Sans MS"/>
                          <w:sz w:val="18"/>
                        </w:rPr>
                        <w:t xml:space="preserve"> (x Indikationsgewic</w:t>
                      </w:r>
                      <w:r>
                        <w:rPr>
                          <w:rFonts w:ascii="Comic Sans MS" w:hAnsi="Comic Sans MS"/>
                          <w:sz w:val="18"/>
                        </w:rPr>
                        <w:t>h</w:t>
                      </w:r>
                      <w:r>
                        <w:rPr>
                          <w:rFonts w:ascii="Comic Sans MS" w:hAnsi="Comic Sans MS"/>
                          <w:sz w:val="18"/>
                        </w:rPr>
                        <w:t>te)</w:t>
                      </w:r>
                    </w:p>
                    <w:p>
                      <w:pPr>
                        <w:pStyle w:val="Standard2"/>
                        <w:spacing w:line="240" w:lineRule="auto"/>
                        <w:jc w:val="both"/>
                        <w:rPr>
                          <w:rFonts w:ascii="Comic Sans MS" w:hAnsi="Comic Sans MS"/>
                          <w:b/>
                          <w:sz w:val="18"/>
                        </w:rPr>
                      </w:pPr>
                      <w:r>
                        <w:rPr>
                          <w:rFonts w:ascii="Comic Sans MS" w:hAnsi="Comic Sans MS"/>
                          <w:b/>
                          <w:sz w:val="18"/>
                        </w:rPr>
                        <w:t xml:space="preserve">Saprobienindex = </w:t>
                      </w:r>
                    </w:p>
                    <w:p>
                      <w:pPr>
                        <w:pStyle w:val="Standard2"/>
                        <w:spacing w:line="240" w:lineRule="auto"/>
                        <w:jc w:val="both"/>
                        <w:rPr>
                          <w:rFonts w:ascii="Comic Sans MS" w:hAnsi="Comic Sans MS"/>
                          <w:sz w:val="18"/>
                        </w:rPr>
                      </w:pPr>
                      <w:r>
                        <w:rPr>
                          <w:rFonts w:ascii="Comic Sans MS" w:hAnsi="Comic Sans MS"/>
                          <w:sz w:val="18"/>
                        </w:rPr>
                        <w:tab/>
                      </w:r>
                      <w:r>
                        <w:rPr>
                          <w:rFonts w:ascii="Comic Sans MS" w:hAnsi="Comic Sans MS"/>
                          <w:sz w:val="18"/>
                        </w:rPr>
                        <w:tab/>
                        <w:t xml:space="preserve">        </w:t>
                      </w:r>
                      <w:r>
                        <w:rPr>
                          <w:rFonts w:ascii="Comic Sans MS" w:hAnsi="Comic Sans MS"/>
                          <w:sz w:val="18"/>
                        </w:rPr>
                        <w:tab/>
                      </w:r>
                      <w:r>
                        <w:rPr>
                          <w:rFonts w:ascii="Comic Sans MS" w:hAnsi="Comic Sans MS"/>
                          <w:sz w:val="18"/>
                        </w:rPr>
                        <w:tab/>
                      </w:r>
                      <w:r>
                        <w:rPr>
                          <w:rFonts w:ascii="Comic Sans MS" w:hAnsi="Comic Sans MS"/>
                          <w:b/>
                          <w:sz w:val="18"/>
                        </w:rPr>
                        <w:t>Summe aller Häufigkeiten</w:t>
                      </w:r>
                      <w:r>
                        <w:rPr>
                          <w:rFonts w:ascii="Comic Sans MS" w:hAnsi="Comic Sans MS"/>
                          <w:sz w:val="18"/>
                        </w:rPr>
                        <w:t xml:space="preserve"> (x Indikationsg</w:t>
                      </w:r>
                      <w:r>
                        <w:rPr>
                          <w:rFonts w:ascii="Comic Sans MS" w:hAnsi="Comic Sans MS"/>
                          <w:sz w:val="18"/>
                        </w:rPr>
                        <w:t>e</w:t>
                      </w:r>
                      <w:r>
                        <w:rPr>
                          <w:rFonts w:ascii="Comic Sans MS" w:hAnsi="Comic Sans MS"/>
                          <w:sz w:val="18"/>
                        </w:rPr>
                        <w:t>wichte)</w:t>
                      </w:r>
                    </w:p>
                  </w:txbxContent>
                </v:textbox>
                <w10:wrap type="topAndBottom"/>
              </v:rect>
            </w:pict>
          </mc:Fallback>
        </mc:AlternateContent>
      </w:r>
      <w:r>
        <w:rPr>
          <w:rFonts w:ascii="Comic Sans MS" w:hAnsi="Comic Sans MS"/>
          <w:noProof/>
          <w:sz w:val="20"/>
        </w:rPr>
        <mc:AlternateContent>
          <mc:Choice Requires="wps">
            <w:drawing>
              <wp:anchor distT="0" distB="0" distL="114300" distR="114300" simplePos="0" relativeHeight="251658240" behindDoc="0" locked="0" layoutInCell="0" allowOverlap="1">
                <wp:simplePos x="0" y="0"/>
                <wp:positionH relativeFrom="column">
                  <wp:posOffset>1477010</wp:posOffset>
                </wp:positionH>
                <wp:positionV relativeFrom="paragraph">
                  <wp:posOffset>646430</wp:posOffset>
                </wp:positionV>
                <wp:extent cx="4114800"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3pt,50.9pt" to="440.3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5yEg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" o:allowincell="f" strokeweight="1.5pt"/>
            </w:pict>
          </mc:Fallback>
        </mc:AlternateContent>
      </w:r>
      <w:r>
        <w:rPr>
          <w:rFonts w:ascii="Comic Sans MS" w:hAnsi="Comic Sans MS"/>
          <w:b w:val="0"/>
          <w:sz w:val="20"/>
        </w:rPr>
        <w:t xml:space="preserve">Die Formel heißt : </w:t>
      </w:r>
    </w:p>
    <w:p>
      <w:pPr>
        <w:pStyle w:val="berschrift2"/>
        <w:jc w:val="both"/>
        <w:rPr>
          <w:rFonts w:ascii="Comic Sans MS" w:hAnsi="Comic Sans MS"/>
          <w:b w:val="0"/>
          <w:sz w:val="20"/>
        </w:rPr>
      </w:pPr>
    </w:p>
    <w:p>
      <w:pPr>
        <w:pStyle w:val="berschrift2"/>
        <w:jc w:val="both"/>
        <w:rPr>
          <w:rFonts w:ascii="Comic Sans MS" w:hAnsi="Comic Sans MS"/>
          <w:b w:val="0"/>
          <w:sz w:val="20"/>
        </w:rPr>
      </w:pPr>
      <w:r>
        <w:rPr>
          <w:rFonts w:ascii="Comic Sans MS" w:hAnsi="Comic Sans MS"/>
          <w:b w:val="0"/>
          <w:sz w:val="20"/>
        </w:rPr>
        <w:t>Saprobiewerte und Indikationsgewichte aller aktuell verwendeten Indikatoren finden sich in den aufgeführten Literaturempfehlungen. Die Indikationsgewichtungen kann man zur Berechnung des Saprobienindex hinzunehmen, muss dies für einfache Beurteilungen aber nicht.</w:t>
      </w:r>
    </w:p>
    <w:p>
      <w:pPr>
        <w:pStyle w:val="berschrift2"/>
        <w:jc w:val="both"/>
        <w:rPr>
          <w:rFonts w:ascii="Comic Sans MS" w:hAnsi="Comic Sans MS"/>
          <w:b w:val="0"/>
          <w:sz w:val="20"/>
        </w:rPr>
      </w:pPr>
    </w:p>
    <w:p/>
    <w:p>
      <w:pPr>
        <w:jc w:val="both"/>
        <w:rPr>
          <w:rFonts w:ascii="Comic Sans MS" w:hAnsi="Comic Sans MS"/>
          <w:b/>
          <w:sz w:val="20"/>
        </w:rPr>
      </w:pPr>
      <w:r>
        <w:rPr>
          <w:rFonts w:ascii="Comic Sans MS" w:hAnsi="Comic Sans MS"/>
          <w:b/>
          <w:sz w:val="20"/>
        </w:rPr>
        <w:t>Ist der Saprobienindex immer die Gewässergüte?</w:t>
      </w:r>
    </w:p>
    <w:p>
      <w:pPr>
        <w:pStyle w:val="berschrift2"/>
        <w:jc w:val="both"/>
        <w:rPr>
          <w:rFonts w:ascii="Comic Sans MS" w:hAnsi="Comic Sans MS"/>
          <w:b w:val="0"/>
          <w:sz w:val="20"/>
        </w:rPr>
      </w:pPr>
      <w:r>
        <w:rPr>
          <w:rFonts w:ascii="Comic Sans MS" w:hAnsi="Comic Sans MS"/>
          <w:b w:val="0"/>
          <w:sz w:val="20"/>
        </w:rPr>
        <w:t>Die Ergebnisse der Berechnungen des Saprobienindexes sind die Grundlage für die bekannten farbigen Gewässergütekarten. Sie zeigen allerdings streng genommen nicht die gesamte „Gewä</w:t>
      </w:r>
      <w:r>
        <w:rPr>
          <w:rFonts w:ascii="Comic Sans MS" w:hAnsi="Comic Sans MS"/>
          <w:b w:val="0"/>
          <w:sz w:val="20"/>
        </w:rPr>
        <w:t>s</w:t>
      </w:r>
      <w:r>
        <w:rPr>
          <w:rFonts w:ascii="Comic Sans MS" w:hAnsi="Comic Sans MS"/>
          <w:b w:val="0"/>
          <w:sz w:val="20"/>
        </w:rPr>
        <w:t>sergüte“, sondern nur die Belastung mit sauerstoffverbrauchenden Abwässern – denn nur diese wird mit dem Saprobienindex bewertet. Bei den Gewässergütekarten handelt es sich also z</w:t>
      </w:r>
      <w:r>
        <w:rPr>
          <w:rFonts w:ascii="Comic Sans MS" w:hAnsi="Comic Sans MS"/>
          <w:b w:val="0"/>
          <w:sz w:val="20"/>
        </w:rPr>
        <w:t>u</w:t>
      </w:r>
      <w:r>
        <w:rPr>
          <w:rFonts w:ascii="Comic Sans MS" w:hAnsi="Comic Sans MS"/>
          <w:b w:val="0"/>
          <w:sz w:val="20"/>
        </w:rPr>
        <w:t xml:space="preserve">nächst um Karten der Wasserqualität. </w:t>
      </w:r>
    </w:p>
    <w:p>
      <w:pPr>
        <w:jc w:val="both"/>
      </w:pPr>
    </w:p>
    <w:p>
      <w:pPr>
        <w:jc w:val="both"/>
        <w:rPr>
          <w:rFonts w:ascii="Comic Sans MS" w:hAnsi="Comic Sans MS"/>
          <w:sz w:val="20"/>
        </w:rPr>
      </w:pPr>
      <w:r>
        <w:rPr>
          <w:rFonts w:ascii="Comic Sans MS" w:hAnsi="Comic Sans MS"/>
          <w:sz w:val="20"/>
        </w:rPr>
        <w:t>Ein Gewässer ist aber mehr als das Wasser, das in ihm fließt: Ob Bäume an seinem Ufer stehen, die das Wasser kühl halten und Falllaub sowie Totholz zuführen, ob Ufer und Grund befestigt sind oder ob die Teil-Lebensräume an der Gewässersohle der natürlichen Vielfalt entsprechen, prägt das Vorkommen von Tieren und Pflanzen mindestens genauso wie die Beschaffenheit des Wassers. Die Lebewesen brauchen zum (Über-)Leben nicht nur sauberes Wasser, sondern vieles andere mehr: z. B. Nahrung (darunter Laub und Holz), Versteckplätze, Paarungsorte und Kinde</w:t>
      </w:r>
      <w:r>
        <w:rPr>
          <w:rFonts w:ascii="Comic Sans MS" w:hAnsi="Comic Sans MS"/>
          <w:sz w:val="20"/>
        </w:rPr>
        <w:t>r</w:t>
      </w:r>
      <w:r>
        <w:rPr>
          <w:rFonts w:ascii="Comic Sans MS" w:hAnsi="Comic Sans MS"/>
          <w:sz w:val="20"/>
        </w:rPr>
        <w:t>stuben. Alle diese „Strukturen“ müssen dem natürlichen Vorbild eines Tiefland- oder Mittelg</w:t>
      </w:r>
      <w:r>
        <w:rPr>
          <w:rFonts w:ascii="Comic Sans MS" w:hAnsi="Comic Sans MS"/>
          <w:sz w:val="20"/>
        </w:rPr>
        <w:t>e</w:t>
      </w:r>
      <w:r>
        <w:rPr>
          <w:rFonts w:ascii="Comic Sans MS" w:hAnsi="Comic Sans MS"/>
          <w:sz w:val="20"/>
        </w:rPr>
        <w:t>birgsbaches entsprechend vorhanden sein, um eine typische, anspruchsvolle und vielfältige L</w:t>
      </w:r>
      <w:r>
        <w:rPr>
          <w:rFonts w:ascii="Comic Sans MS" w:hAnsi="Comic Sans MS"/>
          <w:sz w:val="20"/>
        </w:rPr>
        <w:t>e</w:t>
      </w:r>
      <w:r>
        <w:rPr>
          <w:rFonts w:ascii="Comic Sans MS" w:hAnsi="Comic Sans MS"/>
          <w:sz w:val="20"/>
        </w:rPr>
        <w:t>benswelt zu ermögl</w:t>
      </w:r>
      <w:r>
        <w:rPr>
          <w:rFonts w:ascii="Comic Sans MS" w:hAnsi="Comic Sans MS"/>
          <w:sz w:val="20"/>
        </w:rPr>
        <w:t>i</w:t>
      </w:r>
      <w:r>
        <w:rPr>
          <w:rFonts w:ascii="Comic Sans MS" w:hAnsi="Comic Sans MS"/>
          <w:sz w:val="20"/>
        </w:rPr>
        <w:t>chen.</w:t>
      </w:r>
    </w:p>
    <w:p>
      <w:pPr>
        <w:jc w:val="both"/>
        <w:rPr>
          <w:rFonts w:ascii="Comic Sans MS" w:hAnsi="Comic Sans MS"/>
          <w:sz w:val="20"/>
        </w:rPr>
      </w:pPr>
    </w:p>
    <w:p>
      <w:pPr>
        <w:jc w:val="both"/>
        <w:rPr>
          <w:rFonts w:ascii="Comic Sans MS" w:hAnsi="Comic Sans MS"/>
          <w:sz w:val="20"/>
        </w:rPr>
      </w:pPr>
      <w:r>
        <w:rPr>
          <w:rFonts w:ascii="Comic Sans MS" w:hAnsi="Comic Sans MS"/>
          <w:sz w:val="20"/>
        </w:rPr>
        <w:t xml:space="preserve">Heute ist zwar das </w:t>
      </w:r>
      <w:r>
        <w:rPr>
          <w:rFonts w:ascii="Comic Sans MS" w:hAnsi="Comic Sans MS"/>
          <w:b/>
          <w:sz w:val="20"/>
        </w:rPr>
        <w:t>Wasser</w:t>
      </w:r>
      <w:r>
        <w:rPr>
          <w:rFonts w:ascii="Comic Sans MS" w:hAnsi="Comic Sans MS"/>
          <w:sz w:val="20"/>
        </w:rPr>
        <w:t xml:space="preserve"> etwa 80 Prozent unserer Bäche und Flüsse wieder der Klasse „gut“ zuzuordnen – sie sind mehr oder weniger sauber. Aber schon eine Fahrt „über Land“ zeigt, dass im Gegenzug kaum ein Gewässer noch seine natürlichen </w:t>
      </w:r>
      <w:r>
        <w:rPr>
          <w:rFonts w:ascii="Comic Sans MS" w:hAnsi="Comic Sans MS"/>
          <w:b/>
          <w:sz w:val="20"/>
        </w:rPr>
        <w:t xml:space="preserve">Strukturen </w:t>
      </w:r>
      <w:r>
        <w:rPr>
          <w:rFonts w:ascii="Comic Sans MS" w:hAnsi="Comic Sans MS"/>
          <w:sz w:val="20"/>
        </w:rPr>
        <w:t>aufweist: Es sind meist unb</w:t>
      </w:r>
      <w:r>
        <w:rPr>
          <w:rFonts w:ascii="Comic Sans MS" w:hAnsi="Comic Sans MS"/>
          <w:sz w:val="20"/>
        </w:rPr>
        <w:t>e</w:t>
      </w:r>
      <w:r>
        <w:rPr>
          <w:rFonts w:ascii="Comic Sans MS" w:hAnsi="Comic Sans MS"/>
          <w:sz w:val="20"/>
        </w:rPr>
        <w:t>schattete und gleichförmige, lediglich in ihrer Größe verschiedene Gräben. Man schätzt, dass vier von fünf aller Fließgewässer „deutlich bis übermäßig verändert“ sind, was ihre natürliche Form und Au</w:t>
      </w:r>
      <w:r>
        <w:rPr>
          <w:rFonts w:ascii="Comic Sans MS" w:hAnsi="Comic Sans MS"/>
          <w:sz w:val="20"/>
        </w:rPr>
        <w:t>s</w:t>
      </w:r>
      <w:r>
        <w:rPr>
          <w:rFonts w:ascii="Comic Sans MS" w:hAnsi="Comic Sans MS"/>
          <w:sz w:val="20"/>
        </w:rPr>
        <w:t>stattung betrifft.</w:t>
      </w:r>
    </w:p>
    <w:p>
      <w:pPr>
        <w:jc w:val="both"/>
        <w:rPr>
          <w:rFonts w:ascii="Comic Sans MS" w:hAnsi="Comic Sans MS"/>
          <w:sz w:val="20"/>
        </w:rPr>
      </w:pPr>
    </w:p>
    <w:p>
      <w:pPr>
        <w:jc w:val="both"/>
        <w:rPr>
          <w:rFonts w:ascii="Comic Sans MS" w:hAnsi="Comic Sans MS"/>
          <w:b/>
          <w:sz w:val="20"/>
        </w:rPr>
      </w:pPr>
      <w:r>
        <w:rPr>
          <w:rFonts w:ascii="Comic Sans MS" w:hAnsi="Comic Sans MS"/>
          <w:b/>
          <w:sz w:val="20"/>
        </w:rPr>
        <w:t>Die Verbesserung des gesamten Zustandes der Fließgewässer – eine europaweite Au</w:t>
      </w:r>
      <w:r>
        <w:rPr>
          <w:rFonts w:ascii="Comic Sans MS" w:hAnsi="Comic Sans MS"/>
          <w:b/>
          <w:sz w:val="20"/>
        </w:rPr>
        <w:t>f</w:t>
      </w:r>
      <w:r>
        <w:rPr>
          <w:rFonts w:ascii="Comic Sans MS" w:hAnsi="Comic Sans MS"/>
          <w:b/>
          <w:sz w:val="20"/>
        </w:rPr>
        <w:t>gabe</w:t>
      </w:r>
    </w:p>
    <w:p>
      <w:pPr>
        <w:jc w:val="both"/>
        <w:rPr>
          <w:rFonts w:ascii="Comic Sans MS" w:hAnsi="Comic Sans MS"/>
          <w:sz w:val="20"/>
        </w:rPr>
      </w:pPr>
      <w:r>
        <w:rPr>
          <w:rFonts w:ascii="Comic Sans MS" w:hAnsi="Comic Sans MS"/>
          <w:sz w:val="20"/>
        </w:rPr>
        <w:t xml:space="preserve">Das Saprobiensystem bewertet nur einen Teil der Qualität eines Baches oder Flusses. Um seinen gesamten Zustand zu erfahren und zu bewerten, muss man die vielen Informationen, die die Wassertiere und –pflanzen liefern, weiter nutzen. So weiß ein Biologe schon heute, dass die Quell-Köcherfliege </w:t>
      </w:r>
      <w:r>
        <w:rPr>
          <w:rFonts w:ascii="Comic Sans MS" w:hAnsi="Comic Sans MS"/>
          <w:i/>
          <w:sz w:val="20"/>
        </w:rPr>
        <w:t xml:space="preserve">Crunoecia </w:t>
      </w:r>
      <w:r>
        <w:rPr>
          <w:rFonts w:ascii="Comic Sans MS" w:hAnsi="Comic Sans MS"/>
          <w:sz w:val="20"/>
        </w:rPr>
        <w:t>vorzugsweise auf dünn überrieselten Laubpaketen lebt; die Wa</w:t>
      </w:r>
      <w:r>
        <w:rPr>
          <w:rFonts w:ascii="Comic Sans MS" w:hAnsi="Comic Sans MS"/>
          <w:sz w:val="20"/>
        </w:rPr>
        <w:t>s</w:t>
      </w:r>
      <w:r>
        <w:rPr>
          <w:rFonts w:ascii="Comic Sans MS" w:hAnsi="Comic Sans MS"/>
          <w:sz w:val="20"/>
        </w:rPr>
        <w:t xml:space="preserve">serassel mag es z.B. eher schlammig. Übermäßig viele Wasserasseln können eine Verschlammung anzeigen; </w:t>
      </w:r>
      <w:r>
        <w:rPr>
          <w:rFonts w:ascii="Comic Sans MS" w:hAnsi="Comic Sans MS"/>
          <w:sz w:val="20"/>
        </w:rPr>
        <w:lastRenderedPageBreak/>
        <w:t>fehlt einem kleinen Quellbach die Quell-Köcherfliege, so hat dieser vielleicht zu viel oder zu wenig Wasser oder ihm fehlt der Wald und damit das Laub. Aus Vorkommen und Häufi</w:t>
      </w:r>
      <w:r>
        <w:rPr>
          <w:rFonts w:ascii="Comic Sans MS" w:hAnsi="Comic Sans MS"/>
          <w:sz w:val="20"/>
        </w:rPr>
        <w:t>g</w:t>
      </w:r>
      <w:r>
        <w:rPr>
          <w:rFonts w:ascii="Comic Sans MS" w:hAnsi="Comic Sans MS"/>
          <w:sz w:val="20"/>
        </w:rPr>
        <w:t>keit unserer Indikatoren lässt sich also nicht nur ein Gesamtzustand erkennen, sondern es lassen sich auch geeignete Maßnahmen a</w:t>
      </w:r>
      <w:r>
        <w:rPr>
          <w:rFonts w:ascii="Comic Sans MS" w:hAnsi="Comic Sans MS"/>
          <w:sz w:val="20"/>
        </w:rPr>
        <w:t>b</w:t>
      </w:r>
      <w:r>
        <w:rPr>
          <w:rFonts w:ascii="Comic Sans MS" w:hAnsi="Comic Sans MS"/>
          <w:sz w:val="20"/>
        </w:rPr>
        <w:t xml:space="preserve">leiten, diesen zu verbessern. </w:t>
      </w:r>
    </w:p>
    <w:p>
      <w:pPr>
        <w:jc w:val="both"/>
        <w:rPr>
          <w:rFonts w:ascii="Comic Sans MS" w:hAnsi="Comic Sans MS"/>
          <w:sz w:val="20"/>
        </w:rPr>
      </w:pPr>
    </w:p>
    <w:p>
      <w:pPr>
        <w:jc w:val="both"/>
        <w:rPr>
          <w:rFonts w:ascii="Comic Sans MS" w:hAnsi="Comic Sans MS"/>
          <w:sz w:val="20"/>
        </w:rPr>
      </w:pPr>
      <w:r>
        <w:rPr>
          <w:rFonts w:ascii="Comic Sans MS" w:hAnsi="Comic Sans MS"/>
          <w:sz w:val="20"/>
        </w:rPr>
        <w:t xml:space="preserve">Die „ökologische Gesamtbewertung“ ist auch für die Wissenschaft noch Neuland. Eine ganz neue Gesetzgebung im Wasserbereich, die sogenannte </w:t>
      </w:r>
      <w:r>
        <w:rPr>
          <w:rFonts w:ascii="Comic Sans MS" w:hAnsi="Comic Sans MS"/>
          <w:b/>
          <w:sz w:val="20"/>
        </w:rPr>
        <w:t>„Wasser-Rahmenrichtlinie</w:t>
      </w:r>
      <w:r>
        <w:rPr>
          <w:rFonts w:ascii="Comic Sans MS" w:hAnsi="Comic Sans MS"/>
          <w:sz w:val="20"/>
        </w:rPr>
        <w:t>“ der Europäischen Union, die auch für Nordrhein-Westfalen gilt, stellt den Beginn einer neuen Epoche in der B</w:t>
      </w:r>
      <w:r>
        <w:rPr>
          <w:rFonts w:ascii="Comic Sans MS" w:hAnsi="Comic Sans MS"/>
          <w:sz w:val="20"/>
        </w:rPr>
        <w:t>e</w:t>
      </w:r>
      <w:r>
        <w:rPr>
          <w:rFonts w:ascii="Comic Sans MS" w:hAnsi="Comic Sans MS"/>
          <w:sz w:val="20"/>
        </w:rPr>
        <w:t>handlung unserer Gewässer dar. Sie sollen nun in ihrem Gesamt-Wert erfasst und beschrieben werden. Ziel der Richtlinie ist es, jeden Bach und Fluss in den Ländern der Europäischen Union bis zum Jahr 2015 mindestens in einen „guten ökologischen Zustand“ zu bringen, der zweitbesten von fünf Güteklassen. Viele der heute nicht nur in Nordrhein-Westfalen noch ausgebauten Wa</w:t>
      </w:r>
      <w:r>
        <w:rPr>
          <w:rFonts w:ascii="Comic Sans MS" w:hAnsi="Comic Sans MS"/>
          <w:sz w:val="20"/>
        </w:rPr>
        <w:t>s</w:t>
      </w:r>
      <w:r>
        <w:rPr>
          <w:rFonts w:ascii="Comic Sans MS" w:hAnsi="Comic Sans MS"/>
          <w:sz w:val="20"/>
        </w:rPr>
        <w:t>serläufe müssen dann nicht nur sauber, sondern auch dem natürlichen Vorbild nahe kommend gesta</w:t>
      </w:r>
      <w:r>
        <w:rPr>
          <w:rFonts w:ascii="Comic Sans MS" w:hAnsi="Comic Sans MS"/>
          <w:sz w:val="20"/>
        </w:rPr>
        <w:t>l</w:t>
      </w:r>
      <w:r>
        <w:rPr>
          <w:rFonts w:ascii="Comic Sans MS" w:hAnsi="Comic Sans MS"/>
          <w:sz w:val="20"/>
        </w:rPr>
        <w:t>tet sein.</w:t>
      </w:r>
    </w:p>
    <w:p>
      <w:pPr>
        <w:jc w:val="both"/>
        <w:rPr>
          <w:rFonts w:ascii="Comic Sans MS" w:hAnsi="Comic Sans MS"/>
          <w:sz w:val="20"/>
        </w:rPr>
      </w:pPr>
    </w:p>
    <w:p>
      <w:pPr>
        <w:jc w:val="both"/>
        <w:rPr>
          <w:rFonts w:ascii="Comic Sans MS" w:hAnsi="Comic Sans MS"/>
          <w:sz w:val="20"/>
        </w:rPr>
      </w:pPr>
      <w:r>
        <w:rPr>
          <w:rFonts w:ascii="Comic Sans MS" w:hAnsi="Comic Sans MS"/>
          <w:sz w:val="20"/>
        </w:rPr>
        <w:t>Das Poster hat bereits die neuen fünf Güteklassen aufgenommen und die Verteilung unserer „Saprobier“ auf diese Klassen dargestellt. Aber die meisten der hier aufgeführten Tiere sagen uns mehr als nur ihre Ansprüche an das Wasser – wir müssen sie nur gut beobachten und weiter b</w:t>
      </w:r>
      <w:r>
        <w:rPr>
          <w:rFonts w:ascii="Comic Sans MS" w:hAnsi="Comic Sans MS"/>
          <w:sz w:val="20"/>
        </w:rPr>
        <w:t>e</w:t>
      </w:r>
      <w:r>
        <w:rPr>
          <w:rFonts w:ascii="Comic Sans MS" w:hAnsi="Comic Sans MS"/>
          <w:sz w:val="20"/>
        </w:rPr>
        <w:t>fragen.</w:t>
      </w:r>
    </w:p>
    <w:p>
      <w:pPr>
        <w:jc w:val="both"/>
        <w:rPr>
          <w:rFonts w:ascii="Comic Sans MS" w:hAnsi="Comic Sans MS"/>
          <w:b/>
          <w:sz w:val="20"/>
        </w:rPr>
      </w:pPr>
    </w:p>
    <w:p>
      <w:pPr>
        <w:jc w:val="both"/>
        <w:rPr>
          <w:rFonts w:ascii="Comic Sans MS" w:hAnsi="Comic Sans MS"/>
          <w:b/>
          <w:sz w:val="20"/>
        </w:rPr>
      </w:pPr>
    </w:p>
    <w:p>
      <w:pPr>
        <w:jc w:val="both"/>
        <w:rPr>
          <w:rFonts w:ascii="Comic Sans MS" w:hAnsi="Comic Sans MS"/>
          <w:b/>
          <w:sz w:val="20"/>
        </w:rPr>
      </w:pPr>
      <w:r>
        <w:rPr>
          <w:rFonts w:ascii="Comic Sans MS" w:hAnsi="Comic Sans MS"/>
          <w:b/>
          <w:sz w:val="20"/>
        </w:rPr>
        <w:t xml:space="preserve">Empfehlenswerte Literatur: </w:t>
      </w:r>
    </w:p>
    <w:p>
      <w:pPr>
        <w:jc w:val="both"/>
        <w:rPr>
          <w:rFonts w:ascii="Comic Sans MS" w:hAnsi="Comic Sans MS"/>
          <w:b/>
          <w:sz w:val="18"/>
        </w:rPr>
      </w:pPr>
    </w:p>
    <w:p>
      <w:pPr>
        <w:spacing w:after="120"/>
        <w:ind w:left="567" w:hanging="567"/>
        <w:rPr>
          <w:rFonts w:ascii="Comic Sans MS" w:hAnsi="Comic Sans MS"/>
          <w:sz w:val="19"/>
        </w:rPr>
      </w:pPr>
      <w:r>
        <w:rPr>
          <w:rFonts w:ascii="Comic Sans MS" w:hAnsi="Comic Sans MS"/>
          <w:sz w:val="19"/>
        </w:rPr>
        <w:t>Vereinigung Deutscher Gewässerschutz e.V. (VDG, Hrsg.) (2001): Ökologische Bewertung von Fließg</w:t>
      </w:r>
      <w:r>
        <w:rPr>
          <w:rFonts w:ascii="Comic Sans MS" w:hAnsi="Comic Sans MS"/>
          <w:sz w:val="19"/>
        </w:rPr>
        <w:t>e</w:t>
      </w:r>
      <w:r>
        <w:rPr>
          <w:rFonts w:ascii="Comic Sans MS" w:hAnsi="Comic Sans MS"/>
          <w:sz w:val="19"/>
        </w:rPr>
        <w:t xml:space="preserve">wässern. Schriftenreihe der Vereinigung Deutscher Gewässerschutz, Bd. 64. Kassel: 96 S. </w:t>
      </w:r>
      <w:r>
        <w:rPr>
          <w:rFonts w:ascii="Comic Sans MS" w:hAnsi="Comic Sans MS"/>
          <w:sz w:val="19"/>
        </w:rPr>
        <w:br/>
        <w:t>B</w:t>
      </w:r>
      <w:r>
        <w:rPr>
          <w:rFonts w:ascii="Comic Sans MS" w:hAnsi="Comic Sans MS"/>
          <w:sz w:val="19"/>
        </w:rPr>
        <w:t>e</w:t>
      </w:r>
      <w:r>
        <w:rPr>
          <w:rFonts w:ascii="Comic Sans MS" w:hAnsi="Comic Sans MS"/>
          <w:sz w:val="19"/>
        </w:rPr>
        <w:t>zugsquelle: VDG, Königswinterer Straße 829, 53227 Bonn.</w:t>
      </w:r>
    </w:p>
    <w:p>
      <w:pPr>
        <w:pStyle w:val="Textkrper-Zeileneinzug"/>
        <w:ind w:left="567" w:hanging="567"/>
        <w:rPr>
          <w:sz w:val="19"/>
        </w:rPr>
      </w:pPr>
      <w:r>
        <w:rPr>
          <w:sz w:val="19"/>
        </w:rPr>
        <w:t>Bayer. Landesamt für Wasserwirtschaft (BLfW, Hrsg.) (1992): Bestimmungsschlüssel für die Sapr</w:t>
      </w:r>
      <w:r>
        <w:rPr>
          <w:sz w:val="19"/>
        </w:rPr>
        <w:t>o</w:t>
      </w:r>
      <w:r>
        <w:rPr>
          <w:sz w:val="19"/>
        </w:rPr>
        <w:t>bier-DIN-Arten (Makroorganismen). München: 274 S. Bezug: BLfW, Lazarettstr. 67, Mü</w:t>
      </w:r>
      <w:r>
        <w:rPr>
          <w:sz w:val="19"/>
        </w:rPr>
        <w:t>n</w:t>
      </w:r>
      <w:r>
        <w:rPr>
          <w:sz w:val="19"/>
        </w:rPr>
        <w:t>chen.</w:t>
      </w:r>
    </w:p>
    <w:p>
      <w:pPr>
        <w:pStyle w:val="Textkrper-Einzug2"/>
        <w:ind w:left="567" w:hanging="567"/>
        <w:rPr>
          <w:sz w:val="19"/>
        </w:rPr>
      </w:pPr>
      <w:r>
        <w:rPr>
          <w:sz w:val="19"/>
        </w:rPr>
        <w:t>Wolfgang Engelhardt (1996): Was lebt in Tümpel, Bach und Weiher? Pflanzen und Tiere unserer G</w:t>
      </w:r>
      <w:r>
        <w:rPr>
          <w:sz w:val="19"/>
        </w:rPr>
        <w:t>e</w:t>
      </w:r>
      <w:r>
        <w:rPr>
          <w:sz w:val="19"/>
        </w:rPr>
        <w:t>wässer. Franck-Kosmos: Stuttgart, 313 S., ISBN 3-440-06638-X</w:t>
      </w:r>
    </w:p>
    <w:p>
      <w:pPr>
        <w:pStyle w:val="Textkrper-Einzug3"/>
        <w:rPr>
          <w:sz w:val="19"/>
        </w:rPr>
      </w:pPr>
      <w:r>
        <w:rPr>
          <w:sz w:val="19"/>
        </w:rPr>
        <w:t>Helmut Schwab (1999): Süßwassertiere; Ein Ökologisches Bestimmungsbuch. Ernst Klett Schulbuc</w:t>
      </w:r>
      <w:r>
        <w:rPr>
          <w:sz w:val="19"/>
        </w:rPr>
        <w:t>h</w:t>
      </w:r>
      <w:r>
        <w:rPr>
          <w:sz w:val="19"/>
        </w:rPr>
        <w:t>verlag: Stuttgart, 320 S., ISBN 3-12-125530-4</w:t>
      </w:r>
    </w:p>
    <w:p>
      <w:pPr>
        <w:jc w:val="both"/>
        <w:rPr>
          <w:rFonts w:ascii="Comic Sans MS" w:hAnsi="Comic Sans MS"/>
          <w:color w:val="000000"/>
          <w:sz w:val="18"/>
        </w:rPr>
      </w:pPr>
    </w:p>
    <w:p>
      <w:pPr>
        <w:jc w:val="both"/>
        <w:rPr>
          <w:rFonts w:ascii="Comic Sans MS" w:hAnsi="Comic Sans MS"/>
          <w:b/>
          <w:sz w:val="20"/>
        </w:rPr>
      </w:pPr>
      <w:r>
        <w:rPr>
          <w:rFonts w:ascii="Comic Sans MS" w:hAnsi="Comic Sans MS"/>
          <w:b/>
          <w:sz w:val="20"/>
        </w:rPr>
        <w:t>Impressum</w:t>
      </w:r>
    </w:p>
    <w:p>
      <w:pPr>
        <w:rPr>
          <w:sz w:val="12"/>
        </w:rPr>
      </w:pPr>
    </w:p>
    <w:p>
      <w:pPr>
        <w:jc w:val="both"/>
        <w:rPr>
          <w:rFonts w:ascii="Comic Sans MS" w:hAnsi="Comic Sans MS"/>
          <w:color w:val="000000"/>
          <w:sz w:val="19"/>
        </w:rPr>
      </w:pPr>
      <w:r>
        <w:rPr>
          <w:rFonts w:ascii="Comic Sans MS" w:hAnsi="Comic Sans MS"/>
          <w:color w:val="000000"/>
          <w:sz w:val="19"/>
        </w:rPr>
        <w:t xml:space="preserve">Herausgeber: </w:t>
      </w:r>
      <w:r>
        <w:rPr>
          <w:rFonts w:ascii="Comic Sans MS" w:hAnsi="Comic Sans MS"/>
          <w:color w:val="000000"/>
          <w:sz w:val="19"/>
        </w:rPr>
        <w:tab/>
        <w:t>Natur- und Umweltschutz-Akademie des Landes Nordrhein-Westfalen (NUA)</w:t>
      </w:r>
    </w:p>
    <w:p>
      <w:pPr>
        <w:jc w:val="both"/>
        <w:rPr>
          <w:rFonts w:ascii="Comic Sans MS" w:hAnsi="Comic Sans MS"/>
          <w:color w:val="000000"/>
          <w:sz w:val="19"/>
        </w:rPr>
      </w:pPr>
      <w:r>
        <w:rPr>
          <w:rFonts w:ascii="Comic Sans MS" w:hAnsi="Comic Sans MS"/>
          <w:color w:val="000000"/>
          <w:sz w:val="19"/>
        </w:rPr>
        <w:tab/>
      </w:r>
      <w:r>
        <w:rPr>
          <w:rFonts w:ascii="Comic Sans MS" w:hAnsi="Comic Sans MS"/>
          <w:color w:val="000000"/>
          <w:sz w:val="19"/>
        </w:rPr>
        <w:tab/>
        <w:t>Siemensstraße 5, 45659 Recklinghausen,</w:t>
      </w:r>
    </w:p>
    <w:p>
      <w:pPr>
        <w:jc w:val="both"/>
        <w:rPr>
          <w:rFonts w:ascii="Comic Sans MS" w:hAnsi="Comic Sans MS"/>
          <w:color w:val="000000"/>
          <w:sz w:val="19"/>
        </w:rPr>
      </w:pPr>
      <w:r>
        <w:rPr>
          <w:rFonts w:ascii="Comic Sans MS" w:hAnsi="Comic Sans MS"/>
          <w:color w:val="000000"/>
          <w:sz w:val="19"/>
        </w:rPr>
        <w:tab/>
      </w:r>
      <w:r>
        <w:rPr>
          <w:rFonts w:ascii="Comic Sans MS" w:hAnsi="Comic Sans MS"/>
          <w:color w:val="000000"/>
          <w:sz w:val="19"/>
        </w:rPr>
        <w:tab/>
        <w:t>Tel: 02361//305-0, Fax: 02361/305-340</w:t>
      </w:r>
    </w:p>
    <w:p>
      <w:pPr>
        <w:jc w:val="both"/>
        <w:rPr>
          <w:rFonts w:ascii="Comic Sans MS" w:hAnsi="Comic Sans MS"/>
          <w:color w:val="000000"/>
          <w:sz w:val="19"/>
        </w:rPr>
      </w:pPr>
      <w:r>
        <w:rPr>
          <w:rFonts w:ascii="Comic Sans MS" w:hAnsi="Comic Sans MS"/>
          <w:color w:val="000000"/>
          <w:sz w:val="19"/>
        </w:rPr>
        <w:tab/>
      </w:r>
      <w:r>
        <w:rPr>
          <w:rFonts w:ascii="Comic Sans MS" w:hAnsi="Comic Sans MS"/>
          <w:color w:val="000000"/>
          <w:sz w:val="19"/>
        </w:rPr>
        <w:tab/>
        <w:t xml:space="preserve">E-Mail </w:t>
      </w:r>
      <w:hyperlink r:id="rId5" w:history="1">
        <w:r>
          <w:rPr>
            <w:rStyle w:val="Hyperlink"/>
            <w:sz w:val="19"/>
          </w:rPr>
          <w:t>poststelle@nua.nrw.de</w:t>
        </w:r>
      </w:hyperlink>
      <w:r>
        <w:rPr>
          <w:rFonts w:ascii="Comic Sans MS" w:hAnsi="Comic Sans MS"/>
          <w:color w:val="000000"/>
          <w:sz w:val="19"/>
        </w:rPr>
        <w:t>, Internet:http://www.nua.nrw.de</w:t>
      </w:r>
    </w:p>
    <w:p>
      <w:pPr>
        <w:jc w:val="both"/>
        <w:rPr>
          <w:i/>
          <w:color w:val="000000"/>
          <w:sz w:val="19"/>
        </w:rPr>
      </w:pPr>
      <w:r>
        <w:rPr>
          <w:rFonts w:ascii="Comic Sans MS" w:hAnsi="Comic Sans MS"/>
          <w:color w:val="000000"/>
          <w:sz w:val="19"/>
        </w:rPr>
        <w:tab/>
      </w:r>
      <w:r>
        <w:rPr>
          <w:rFonts w:ascii="Comic Sans MS" w:hAnsi="Comic Sans MS"/>
          <w:color w:val="000000"/>
          <w:sz w:val="19"/>
        </w:rPr>
        <w:tab/>
      </w:r>
      <w:r>
        <w:rPr>
          <w:i/>
          <w:color w:val="000000"/>
          <w:sz w:val="19"/>
        </w:rPr>
        <w:t>Die NUA ist eingerichtet bei der Landesanstalt für Ökologie, Bodenordnung und Forsten (LÖBF)</w:t>
      </w:r>
    </w:p>
    <w:p>
      <w:pPr>
        <w:jc w:val="both"/>
        <w:rPr>
          <w:rFonts w:ascii="Comic Sans MS" w:hAnsi="Comic Sans MS"/>
          <w:i/>
          <w:color w:val="000000"/>
          <w:sz w:val="12"/>
        </w:rPr>
      </w:pPr>
    </w:p>
    <w:p>
      <w:pPr>
        <w:jc w:val="both"/>
        <w:rPr>
          <w:rFonts w:ascii="Comic Sans MS" w:hAnsi="Comic Sans MS"/>
          <w:color w:val="000000"/>
          <w:sz w:val="19"/>
        </w:rPr>
      </w:pPr>
      <w:r>
        <w:rPr>
          <w:rFonts w:ascii="Comic Sans MS" w:hAnsi="Comic Sans MS"/>
          <w:color w:val="000000"/>
          <w:sz w:val="19"/>
        </w:rPr>
        <w:t>Text:</w:t>
      </w:r>
      <w:r>
        <w:rPr>
          <w:rFonts w:ascii="Comic Sans MS" w:hAnsi="Comic Sans MS"/>
          <w:color w:val="000000"/>
          <w:sz w:val="19"/>
        </w:rPr>
        <w:tab/>
      </w:r>
      <w:r>
        <w:rPr>
          <w:rFonts w:ascii="Comic Sans MS" w:hAnsi="Comic Sans MS"/>
          <w:color w:val="000000"/>
          <w:sz w:val="19"/>
        </w:rPr>
        <w:tab/>
        <w:t>Dr. Mario Sommerhäuser, Universität Essen</w:t>
      </w:r>
    </w:p>
    <w:p>
      <w:pPr>
        <w:jc w:val="both"/>
        <w:rPr>
          <w:rFonts w:ascii="Comic Sans MS" w:hAnsi="Comic Sans MS"/>
          <w:i/>
          <w:color w:val="000000"/>
          <w:sz w:val="12"/>
        </w:rPr>
      </w:pPr>
    </w:p>
    <w:p>
      <w:pPr>
        <w:jc w:val="both"/>
        <w:rPr>
          <w:rFonts w:ascii="Comic Sans MS" w:hAnsi="Comic Sans MS"/>
          <w:color w:val="000000"/>
          <w:sz w:val="19"/>
        </w:rPr>
      </w:pPr>
      <w:r>
        <w:rPr>
          <w:rFonts w:ascii="Comic Sans MS" w:hAnsi="Comic Sans MS"/>
          <w:color w:val="000000"/>
          <w:sz w:val="19"/>
        </w:rPr>
        <w:t>Ausgabe</w:t>
      </w:r>
      <w:r>
        <w:rPr>
          <w:rFonts w:ascii="Comic Sans MS" w:hAnsi="Comic Sans MS"/>
          <w:color w:val="000000"/>
          <w:sz w:val="19"/>
        </w:rPr>
        <w:tab/>
        <w:t>2/2002</w:t>
      </w:r>
    </w:p>
    <w:p>
      <w:pPr>
        <w:jc w:val="both"/>
        <w:rPr>
          <w:rFonts w:ascii="Comic Sans MS" w:hAnsi="Comic Sans MS"/>
          <w:i/>
          <w:color w:val="000000"/>
          <w:sz w:val="12"/>
        </w:rPr>
      </w:pPr>
    </w:p>
    <w:sectPr>
      <w:type w:val="continuous"/>
      <w:pgSz w:w="11906" w:h="16838"/>
      <w:pgMar w:top="1418" w:right="1418" w:bottom="1134"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70193"/>
    <w:multiLevelType w:val="hybridMultilevel"/>
    <w:tmpl w:val="52420DE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5B0F62-A9F5-44A5-8E60-38AC9594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i/>
      <w:iCs/>
      <w:color w:val="FF0000"/>
    </w:rPr>
  </w:style>
  <w:style w:type="paragraph" w:styleId="berschrift2">
    <w:name w:val="heading 2"/>
    <w:basedOn w:val="Standard"/>
    <w:next w:val="Standard"/>
    <w:qFormat/>
    <w:pPr>
      <w:keepNext/>
      <w:outlineLvl w:val="1"/>
    </w:pPr>
    <w:rPr>
      <w:b/>
      <w:bCs/>
      <w:color w:val="000000"/>
    </w:rPr>
  </w:style>
  <w:style w:type="paragraph" w:styleId="berschrift3">
    <w:name w:val="heading 3"/>
    <w:basedOn w:val="Standard"/>
    <w:next w:val="Standard"/>
    <w:qFormat/>
    <w:pPr>
      <w:keepNext/>
      <w:outlineLvl w:val="2"/>
    </w:pPr>
    <w:rPr>
      <w:b/>
      <w:color w:val="00FF00"/>
    </w:rPr>
  </w:style>
  <w:style w:type="paragraph" w:styleId="berschrift4">
    <w:name w:val="heading 4"/>
    <w:basedOn w:val="Standard"/>
    <w:next w:val="Standard"/>
    <w:qFormat/>
    <w:pPr>
      <w:keepNext/>
      <w:outlineLvl w:val="3"/>
    </w:pPr>
    <w:rPr>
      <w:b/>
      <w:color w:val="00FF00"/>
      <w:sz w:val="38"/>
    </w:rPr>
  </w:style>
  <w:style w:type="paragraph" w:styleId="berschrift5">
    <w:name w:val="heading 5"/>
    <w:basedOn w:val="Standard"/>
    <w:next w:val="Standard"/>
    <w:qFormat/>
    <w:pPr>
      <w:keepNext/>
      <w:jc w:val="both"/>
      <w:outlineLvl w:val="4"/>
    </w:pPr>
    <w:rPr>
      <w:rFonts w:ascii="Comic Sans MS" w:hAnsi="Comic Sans MS"/>
      <w:b/>
      <w:color w:val="000000"/>
    </w:rPr>
  </w:style>
  <w:style w:type="paragraph" w:styleId="berschrift6">
    <w:name w:val="heading 6"/>
    <w:basedOn w:val="Standard"/>
    <w:next w:val="Standard"/>
    <w:qFormat/>
    <w:pPr>
      <w:keepNext/>
      <w:outlineLvl w:val="5"/>
    </w:pPr>
    <w:rPr>
      <w:rFonts w:ascii="Comic Sans MS" w:hAnsi="Comic Sans MS"/>
      <w:b/>
      <w:sz w:val="20"/>
    </w:rPr>
  </w:style>
  <w:style w:type="paragraph" w:styleId="berschrift7">
    <w:name w:val="heading 7"/>
    <w:basedOn w:val="Standard"/>
    <w:next w:val="Standard"/>
    <w:qFormat/>
    <w:pPr>
      <w:keepNext/>
      <w:jc w:val="both"/>
      <w:outlineLvl w:val="6"/>
    </w:pPr>
    <w:rPr>
      <w:rFonts w:ascii="Comic Sans MS" w:hAnsi="Comic Sans MS"/>
      <w:b/>
      <w:color w:val="000000"/>
      <w:sz w:val="18"/>
    </w:rPr>
  </w:style>
  <w:style w:type="paragraph" w:styleId="berschrift8">
    <w:name w:val="heading 8"/>
    <w:basedOn w:val="Standard"/>
    <w:next w:val="Standard"/>
    <w:qFormat/>
    <w:pPr>
      <w:keepNext/>
      <w:outlineLvl w:val="7"/>
    </w:pPr>
    <w:rPr>
      <w:rFonts w:ascii="Comic Sans MS" w:hAnsi="Comic Sans MS"/>
      <w:b/>
      <w:sz w:val="1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rPr>
  </w:style>
  <w:style w:type="paragraph" w:styleId="Dokumentstruktur">
    <w:name w:val="Document Map"/>
    <w:basedOn w:val="Standard"/>
    <w:semiHidden/>
    <w:pPr>
      <w:shd w:val="clear" w:color="auto" w:fill="000080"/>
    </w:pPr>
    <w:rPr>
      <w:rFonts w:ascii="Tahoma" w:hAnsi="Tahoma"/>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customStyle="1" w:styleId="Standard2">
    <w:name w:val="Standard 2"/>
    <w:basedOn w:val="Standard"/>
    <w:pPr>
      <w:spacing w:line="288" w:lineRule="auto"/>
    </w:pPr>
    <w:rPr>
      <w:rFonts w:ascii="Arial" w:hAnsi="Arial"/>
      <w:sz w:val="22"/>
      <w:szCs w:val="20"/>
    </w:rPr>
  </w:style>
  <w:style w:type="character" w:styleId="Hyperlink">
    <w:name w:val="Hyperlink"/>
    <w:basedOn w:val="Absatz-Standardschriftart"/>
    <w:semiHidden/>
    <w:rPr>
      <w:color w:val="0000FF"/>
      <w:u w:val="single"/>
    </w:rPr>
  </w:style>
  <w:style w:type="paragraph" w:styleId="Textkrper-Zeileneinzug">
    <w:name w:val="Body Text Indent"/>
    <w:basedOn w:val="Standard"/>
    <w:semiHidden/>
    <w:pPr>
      <w:spacing w:after="120"/>
      <w:ind w:left="709" w:hanging="709"/>
    </w:pPr>
    <w:rPr>
      <w:rFonts w:ascii="Comic Sans MS" w:hAnsi="Comic Sans MS"/>
      <w:sz w:val="20"/>
    </w:rPr>
  </w:style>
  <w:style w:type="paragraph" w:styleId="Textkrper-Einzug2">
    <w:name w:val="Body Text Indent 2"/>
    <w:basedOn w:val="Standard"/>
    <w:semiHidden/>
    <w:pPr>
      <w:spacing w:after="120"/>
      <w:ind w:left="709" w:hanging="709"/>
    </w:pPr>
    <w:rPr>
      <w:rFonts w:ascii="Comic Sans MS" w:hAnsi="Comic Sans MS"/>
      <w:color w:val="000000"/>
      <w:sz w:val="18"/>
    </w:rPr>
  </w:style>
  <w:style w:type="paragraph" w:styleId="Textkrper-Einzug3">
    <w:name w:val="Body Text Indent 3"/>
    <w:basedOn w:val="Standard"/>
    <w:semiHidden/>
    <w:pPr>
      <w:spacing w:after="120"/>
      <w:ind w:left="567" w:hanging="567"/>
    </w:pPr>
    <w:rPr>
      <w:rFonts w:ascii="Comic Sans MS" w:hAnsi="Comic Sans MS"/>
      <w:color w:val="000000"/>
      <w:sz w:val="18"/>
    </w:rPr>
  </w:style>
  <w:style w:type="paragraph" w:styleId="Textkrper2">
    <w:name w:val="Body Text 2"/>
    <w:basedOn w:val="Standard"/>
    <w:semiHidden/>
    <w:pPr>
      <w:jc w:val="both"/>
    </w:pPr>
    <w:rPr>
      <w:rFonts w:ascii="Comic Sans MS" w:hAnsi="Comic Sans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ststelle@nua.nrw.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1572</Words>
  <Characters>9910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Wir zeigen die Gewässergüte von NRW</vt:lpstr>
    </vt:vector>
  </TitlesOfParts>
  <Company/>
  <LinksUpToDate>false</LinksUpToDate>
  <CharactersWithSpaces>11460</CharactersWithSpaces>
  <SharedDoc>false</SharedDoc>
  <HLinks>
    <vt:vector size="6" baseType="variant">
      <vt:variant>
        <vt:i4>3735646</vt:i4>
      </vt:variant>
      <vt:variant>
        <vt:i4>0</vt:i4>
      </vt:variant>
      <vt:variant>
        <vt:i4>0</vt:i4>
      </vt:variant>
      <vt:variant>
        <vt:i4>5</vt:i4>
      </vt:variant>
      <vt:variant>
        <vt:lpwstr>mailto:poststelle@nua.nrw.de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 zeigen die Gewässergüte von NRW</dc:title>
  <dc:subject/>
  <dc:creator>Hartwig,v.Oldenburg,Schruck</dc:creator>
  <cp:keywords>plakat,lua,poster</cp:keywords>
  <dc:description/>
  <cp:lastModifiedBy>Henkel, Patrick</cp:lastModifiedBy>
  <cp:revision>2</cp:revision>
  <cp:lastPrinted>2002-02-14T16:06:00Z</cp:lastPrinted>
  <dcterms:created xsi:type="dcterms:W3CDTF">2022-01-06T07:18:00Z</dcterms:created>
  <dcterms:modified xsi:type="dcterms:W3CDTF">2022-01-06T07:18:00Z</dcterms:modified>
</cp:coreProperties>
</file>